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BD5CF1" w14:textId="77777777" w:rsidR="006039F5" w:rsidRDefault="00000000" w:rsidP="00492CD6">
      <w:pPr>
        <w:adjustRightInd w:val="0"/>
        <w:snapToGrid w:val="0"/>
        <w:jc w:val="center"/>
      </w:pPr>
      <w:r>
        <w:rPr>
          <w:rFonts w:cs="Times New Roman"/>
          <w:b/>
          <w:bCs/>
          <w:sz w:val="28"/>
          <w:szCs w:val="28"/>
        </w:rPr>
        <w:t>A FLIPPED CLASSROOM–SELF-VIDEO ANALYSIS MODEL TO ENHANCE BASKETBALL SHOOTING SKILLS AND RESPONSIBILITY IN HIGH SCHOOL STUDENTS</w:t>
      </w:r>
    </w:p>
    <w:p w14:paraId="74A35719" w14:textId="77777777" w:rsidR="006039F5" w:rsidRDefault="00000000" w:rsidP="00492CD6">
      <w:pPr>
        <w:adjustRightInd w:val="0"/>
        <w:snapToGrid w:val="0"/>
        <w:spacing w:after="40"/>
        <w:jc w:val="right"/>
      </w:pPr>
      <w:r>
        <w:rPr>
          <w:rFonts w:cs="Times New Roman"/>
        </w:rPr>
        <w:t>Li Jiarui</w:t>
      </w:r>
      <w:r>
        <w:rPr>
          <w:rFonts w:cs="Times New Roman"/>
          <w:vertAlign w:val="superscript"/>
        </w:rPr>
        <w:t>*</w:t>
      </w:r>
      <w:r>
        <w:rPr>
          <w:rFonts w:cs="Times New Roman"/>
        </w:rPr>
        <w:t>, Wisute Tongdecharoen, and Thongchat Phucharoen</w:t>
      </w:r>
    </w:p>
    <w:p w14:paraId="39515A36" w14:textId="77777777" w:rsidR="006039F5" w:rsidRDefault="00000000" w:rsidP="00492CD6">
      <w:pPr>
        <w:pBdr>
          <w:bottom w:val="single" w:sz="4" w:space="1" w:color="auto"/>
        </w:pBdr>
        <w:adjustRightInd w:val="0"/>
        <w:snapToGrid w:val="0"/>
        <w:spacing w:after="160"/>
        <w:jc w:val="right"/>
      </w:pPr>
      <w:r>
        <w:rPr>
          <w:rFonts w:cs="Times New Roman"/>
        </w:rPr>
        <w:t>Faculty of Sports Science and Technology, Bangkokthonburi University, Thailand</w:t>
      </w:r>
    </w:p>
    <w:p w14:paraId="00FE9453" w14:textId="77777777" w:rsidR="006039F5" w:rsidRDefault="00000000" w:rsidP="00492CD6">
      <w:pPr>
        <w:adjustRightInd w:val="0"/>
        <w:snapToGrid w:val="0"/>
        <w:spacing w:before="80" w:after="80"/>
      </w:pPr>
      <w:r>
        <w:rPr>
          <w:rFonts w:cs="Times New Roman"/>
          <w:b/>
          <w:bCs/>
        </w:rPr>
        <w:t>Abstract</w:t>
      </w:r>
    </w:p>
    <w:p w14:paraId="418CEB4D" w14:textId="74D9BF35" w:rsidR="006039F5" w:rsidRDefault="00000000" w:rsidP="00492CD6">
      <w:pPr>
        <w:adjustRightInd w:val="0"/>
        <w:snapToGrid w:val="0"/>
        <w:spacing w:after="100"/>
        <w:jc w:val="both"/>
      </w:pPr>
      <w:r>
        <w:rPr>
          <w:rFonts w:cs="Times New Roman"/>
        </w:rPr>
        <w:t>This study aimed to develop a basketball instructional model that integrates the Flipped Classroom approach with Self-Video Analysis (the FC-SVA-BM) and to evaluate its effects on shooting skill and personal and social responsibility among high school students. A three-phase Research and Development design was employed: Phase 1 developed the model and verified its content validity through five qualified physical education experts using the Index of Item-Objective Congruence (IOC); Phase 2 conducted a pilot trial with 15 students; and Phase 3 applied a quasi-experimental, non-equivalent control group design with pretest, midtest, and posttest measurements. Participants were 59 Grade 10 students at a public secondary school in Guangzhou, China (experimental group n = 29; control group n = 30), assigned at the class level. Shooting skill was measured using the AAHPERD Basketball Skills Test–Modified, and responsibility was measured using the Personal and Social Responsibility Questionnaire (PSRQ). Data were analyzed using 2 × 3 mixed ANOVA, one-way repeated measures ANOVA, and Bonferroni post hoc tests. All 576 rated items achieved satisfactory content validity (mean IOC = 0.84). The experimental group significantly outperformed the control group in shooting skill (posttest Cohen's d = 4.27) and responsibility (posttest d = 5.24), with significant Group × Time interactions (both p &lt; .0</w:t>
      </w:r>
      <w:r w:rsidR="00B6472E">
        <w:rPr>
          <w:rFonts w:cs="Times New Roman"/>
        </w:rPr>
        <w:t>5</w:t>
      </w:r>
      <w:r>
        <w:rPr>
          <w:rFonts w:cs="Times New Roman"/>
        </w:rPr>
        <w:t>). Within the experimental group, both outcomes improved progressively at every interval. The findings indicate that the FC-SVA-BM is a content-valid and effective model for simultaneously enhancing motor skill and responsibility within standard physical education class time.</w:t>
      </w:r>
    </w:p>
    <w:p w14:paraId="562BB6D3" w14:textId="77777777" w:rsidR="006039F5" w:rsidRDefault="00000000" w:rsidP="00492CD6">
      <w:pPr>
        <w:adjustRightInd w:val="0"/>
        <w:snapToGrid w:val="0"/>
        <w:spacing w:after="100"/>
        <w:jc w:val="both"/>
        <w:rPr>
          <w:rFonts w:cs="Times New Roman"/>
        </w:rPr>
      </w:pPr>
      <w:r>
        <w:rPr>
          <w:rFonts w:cs="Times New Roman"/>
          <w:b/>
          <w:bCs/>
        </w:rPr>
        <w:t xml:space="preserve">Keywords: </w:t>
      </w:r>
      <w:r>
        <w:rPr>
          <w:rFonts w:cs="Times New Roman"/>
        </w:rPr>
        <w:t>flipped classroom, self-video analysis, basketball shooting skill, personal and social responsibility, physical education</w:t>
      </w:r>
    </w:p>
    <w:p w14:paraId="3EA23992" w14:textId="77777777" w:rsidR="00B6472E" w:rsidRDefault="00B6472E" w:rsidP="00492CD6">
      <w:pPr>
        <w:adjustRightInd w:val="0"/>
        <w:snapToGrid w:val="0"/>
        <w:spacing w:after="100"/>
        <w:jc w:val="both"/>
        <w:rPr>
          <w:rFonts w:cs="Times New Roman"/>
        </w:rPr>
      </w:pPr>
    </w:p>
    <w:p w14:paraId="1654C27E" w14:textId="77777777" w:rsidR="00B6472E" w:rsidRDefault="00B6472E" w:rsidP="00492CD6">
      <w:pPr>
        <w:adjustRightInd w:val="0"/>
        <w:snapToGrid w:val="0"/>
        <w:spacing w:after="100"/>
        <w:jc w:val="both"/>
        <w:rPr>
          <w:rFonts w:cs="Times New Roman"/>
        </w:rPr>
      </w:pPr>
    </w:p>
    <w:p w14:paraId="7FAD5955" w14:textId="77777777" w:rsidR="00B6472E" w:rsidRDefault="00B6472E" w:rsidP="00492CD6">
      <w:pPr>
        <w:adjustRightInd w:val="0"/>
        <w:snapToGrid w:val="0"/>
        <w:spacing w:after="100"/>
        <w:jc w:val="both"/>
        <w:rPr>
          <w:rFonts w:cs="Times New Roman"/>
        </w:rPr>
      </w:pPr>
    </w:p>
    <w:p w14:paraId="655BCBFA" w14:textId="77777777" w:rsidR="00B6472E" w:rsidRDefault="00B6472E" w:rsidP="00492CD6">
      <w:pPr>
        <w:adjustRightInd w:val="0"/>
        <w:snapToGrid w:val="0"/>
        <w:spacing w:after="100"/>
        <w:jc w:val="both"/>
      </w:pPr>
    </w:p>
    <w:p w14:paraId="3FBB54C2" w14:textId="77777777" w:rsidR="00EA243F" w:rsidRPr="00EA243F" w:rsidRDefault="00B6472E" w:rsidP="00492CD6">
      <w:pPr>
        <w:pBdr>
          <w:top w:val="single" w:sz="4" w:space="1" w:color="auto"/>
        </w:pBdr>
        <w:adjustRightInd w:val="0"/>
        <w:snapToGrid w:val="0"/>
        <w:spacing w:after="100"/>
        <w:jc w:val="both"/>
      </w:pPr>
      <w:r>
        <w:rPr>
          <w:rFonts w:cs="Times New Roman"/>
          <w:b/>
          <w:bCs/>
        </w:rPr>
        <w:t>*</w:t>
      </w:r>
      <w:r w:rsidR="00000000">
        <w:rPr>
          <w:rFonts w:cs="Times New Roman"/>
          <w:b/>
          <w:bCs/>
        </w:rPr>
        <w:t xml:space="preserve">Corresponding Author: </w:t>
      </w:r>
      <w:r>
        <w:rPr>
          <w:rFonts w:cs="Times New Roman"/>
        </w:rPr>
        <w:t>Li Jiarui</w:t>
      </w:r>
      <w:r w:rsidR="00000000">
        <w:rPr>
          <w:rFonts w:cs="Times New Roman"/>
        </w:rPr>
        <w:t xml:space="preserve">, Faculty of Sports Science and Technology, Bangkokthonburi University, Thailand. Email: </w:t>
      </w:r>
      <w:r w:rsidR="00EA243F">
        <w:rPr>
          <w:rFonts w:cs="Times New Roman"/>
        </w:rPr>
        <w:fldChar w:fldCharType="begin"/>
      </w:r>
      <w:r w:rsidR="00EA243F">
        <w:rPr>
          <w:rFonts w:cs="Times New Roman"/>
        </w:rPr>
        <w:instrText>HYPERLINK "mailto:</w:instrText>
      </w:r>
      <w:r w:rsidR="00EA243F" w:rsidRPr="00EA243F">
        <w:rPr>
          <w:rFonts w:cs="Times New Roman"/>
        </w:rPr>
        <w:instrText>476764768@qq.com</w:instrText>
      </w:r>
    </w:p>
    <w:p w14:paraId="10AF5CEA" w14:textId="77777777" w:rsidR="00EA243F" w:rsidRPr="00C110D4" w:rsidRDefault="00EA243F" w:rsidP="00492CD6">
      <w:pPr>
        <w:pBdr>
          <w:top w:val="single" w:sz="4" w:space="1" w:color="auto"/>
        </w:pBdr>
        <w:adjustRightInd w:val="0"/>
        <w:snapToGrid w:val="0"/>
        <w:spacing w:after="100"/>
        <w:jc w:val="both"/>
        <w:rPr>
          <w:rStyle w:val="Hyperlink"/>
        </w:rPr>
      </w:pPr>
      <w:r w:rsidRPr="00EA243F">
        <w:br w:type="page"/>
      </w:r>
      <w:r>
        <w:rPr>
          <w:rFonts w:cs="Times New Roman"/>
        </w:rPr>
        <w:instrText>"</w:instrText>
      </w:r>
      <w:r>
        <w:rPr>
          <w:rFonts w:cs="Times New Roman"/>
        </w:rPr>
        <w:fldChar w:fldCharType="separate"/>
      </w:r>
      <w:r w:rsidRPr="00C110D4">
        <w:rPr>
          <w:rStyle w:val="Hyperlink"/>
          <w:rFonts w:cs="Times New Roman"/>
        </w:rPr>
        <w:t>476764768@qq.com</w:t>
      </w:r>
    </w:p>
    <w:p w14:paraId="4BE9AFE5" w14:textId="328C2698" w:rsidR="006039F5" w:rsidRDefault="00EA243F" w:rsidP="00492CD6">
      <w:pPr>
        <w:adjustRightInd w:val="0"/>
        <w:snapToGrid w:val="0"/>
      </w:pPr>
      <w:r w:rsidRPr="00C110D4">
        <w:rPr>
          <w:rStyle w:val="Hyperlink"/>
        </w:rPr>
        <w:br w:type="page"/>
      </w:r>
      <w:r>
        <w:rPr>
          <w:rFonts w:cs="Times New Roman"/>
        </w:rPr>
        <w:fldChar w:fldCharType="end"/>
      </w:r>
    </w:p>
    <w:p w14:paraId="5F0DB27D" w14:textId="77777777" w:rsidR="006039F5" w:rsidRDefault="00000000" w:rsidP="00492CD6">
      <w:pPr>
        <w:adjustRightInd w:val="0"/>
        <w:snapToGrid w:val="0"/>
        <w:spacing w:before="160" w:after="80"/>
      </w:pPr>
      <w:r>
        <w:rPr>
          <w:rFonts w:cs="Times New Roman"/>
          <w:b/>
          <w:bCs/>
        </w:rPr>
        <w:lastRenderedPageBreak/>
        <w:t>Introduction</w:t>
      </w:r>
    </w:p>
    <w:p w14:paraId="2B855E7F" w14:textId="77777777" w:rsidR="006039F5" w:rsidRDefault="00000000" w:rsidP="00492CD6">
      <w:pPr>
        <w:adjustRightInd w:val="0"/>
        <w:snapToGrid w:val="0"/>
        <w:spacing w:after="100"/>
        <w:ind w:firstLine="480"/>
        <w:jc w:val="both"/>
      </w:pPr>
      <w:r>
        <w:rPr>
          <w:rFonts w:cs="Times New Roman"/>
        </w:rPr>
        <w:t>Basketball is one of the most widely practiced competitive sports in Chinese secondary schools and is a core component of the national physical education (PE) curriculum (Ministry of Education of China, 2022). Among the technical competencies it demands, shooting skill is the single most consequential skill for match performance, directly shaping scoring outcomes and overall team effectiveness (Csataljay et al., 2021). Yet most high school students in China demonstrate persistently inadequate shooting technique; national assessment data indicate that fewer than 40% of secondary students meet the proficiency benchmark for basic shooting form (Chen &amp; Liu, 2022). This gap has been widely attributed to the conventional direct-instruction model that dominates Chinese PE classrooms, in which teacher-centered demonstration and passive repetition leave little time for individualized feedback within a 45-minute lesson (Jiang et al., 2020).</w:t>
      </w:r>
    </w:p>
    <w:p w14:paraId="3686F5FE" w14:textId="77777777" w:rsidR="006039F5" w:rsidRDefault="00000000" w:rsidP="00492CD6">
      <w:pPr>
        <w:adjustRightInd w:val="0"/>
        <w:snapToGrid w:val="0"/>
        <w:spacing w:after="100"/>
        <w:ind w:firstLine="480"/>
        <w:jc w:val="both"/>
      </w:pPr>
      <w:r>
        <w:rPr>
          <w:rFonts w:cs="Times New Roman"/>
        </w:rPr>
        <w:t>Beyond psychomotor outcomes, contemporary PE scholarship increasingly foregrounds the development of personal and social responsibility as an equally essential objective. Hellison's Teaching Personal and Social Responsibility (TPSR) framework positions responsibility not as a peripheral by-product but as a central purpose of PE. In Chinese secondary contexts, however, responsibility development receives little systematic attention; Wang et al. (2023) documented that lessons are overwhelmingly dominated by technical drills with few explicit strategies targeting affective outcomes. This imbalance is inconsistent with the Healthy China 2030 initiative and the revised 2022 curriculum standards, both of which call for holistic student development encompassing both physical competence and responsibility.</w:t>
      </w:r>
    </w:p>
    <w:p w14:paraId="7297F287" w14:textId="77777777" w:rsidR="006039F5" w:rsidRDefault="00000000" w:rsidP="00492CD6">
      <w:pPr>
        <w:adjustRightInd w:val="0"/>
        <w:snapToGrid w:val="0"/>
        <w:spacing w:after="100"/>
        <w:ind w:firstLine="480"/>
        <w:jc w:val="both"/>
      </w:pPr>
      <w:r>
        <w:rPr>
          <w:rFonts w:cs="Times New Roman"/>
        </w:rPr>
        <w:t>A promising response to both challenges is the Flipped Classroom Model (FCM), in which knowledge transmission, such as viewing instructional videos of correct shooting mechanics, occurs before class through asynchronous digital media, thereby reclaiming in-class time for supervised practice and feedback (Hwang &amp; Lai, 2017). Meta-analytic evidence shows that FCM improves both motor-skill acquisition and engagement relative to conventional PE instruction (Thai et al., 2017; van Alten et al., 2019). However, the model's potential is constrained when students lack systematic tools for self-monitoring their technique, which points to the complementary role of video-based self-analysis.</w:t>
      </w:r>
    </w:p>
    <w:p w14:paraId="4A401C67" w14:textId="77777777" w:rsidR="006039F5" w:rsidRDefault="00000000" w:rsidP="00492CD6">
      <w:pPr>
        <w:adjustRightInd w:val="0"/>
        <w:snapToGrid w:val="0"/>
        <w:spacing w:after="100"/>
        <w:ind w:firstLine="480"/>
        <w:jc w:val="both"/>
      </w:pPr>
      <w:r>
        <w:rPr>
          <w:rFonts w:cs="Times New Roman"/>
        </w:rPr>
        <w:t>Self-Video Analysis (SVA) is a strategy in which learners record their own performance, replay the footage, and evaluate it against expert criteria or structured checklists (Boyer et al., 2023). Grounded in Bandura's (1986) social cognitive theory, SVA capitalizes on the comparison between actual and idealized movement to generate corrective internal feedback. Randomized trials in tennis (Guadagnoli et al., 2022) and swimming (Osei-Owusu et al., 2021) reported technique improvements with moderate-to-large effects (d = 0.61–0.89). Importantly, the metacognitive demands of SVA, namely systematic self-evaluation, goal-setting, and iterative self-correction, are theoretically aligned with the self-directedness required for the higher levels of the TPSR framework, suggesting that SVA may promote both skill acquisition and responsibility development simultaneously.</w:t>
      </w:r>
    </w:p>
    <w:p w14:paraId="188E82E6" w14:textId="77777777" w:rsidR="006039F5" w:rsidRDefault="00000000" w:rsidP="00492CD6">
      <w:pPr>
        <w:adjustRightInd w:val="0"/>
        <w:snapToGrid w:val="0"/>
        <w:spacing w:after="100"/>
        <w:ind w:firstLine="480"/>
        <w:jc w:val="both"/>
      </w:pPr>
      <w:r>
        <w:rPr>
          <w:rFonts w:cs="Times New Roman"/>
        </w:rPr>
        <w:t xml:space="preserve">Despite this theoretical synergy, no published study has integrated FCM and SVA into a single, cohesive instructional model designed for basketball shooting in Chinese high school PE. Prior research has examined the two approaches independently, and without anchoring an integrated model in a validated development-and-testing framework, the evidence base for practice remains incomplete. This study addresses that gap by developing and evaluating the Flipped Classroom–Self-Video Analysis Basketball Model (FC-SVA-BM), built upon three intersecting theoretical pillars: Cognitive Load Theory, which justifies relocating declarative content to pre-class video to free working memory during practice; Observational Learning Theory and the self-comparison hypothesis (Ste-Marie et al., 2020), which underpin the SVA </w:t>
      </w:r>
      <w:r>
        <w:rPr>
          <w:rFonts w:cs="Times New Roman"/>
        </w:rPr>
        <w:lastRenderedPageBreak/>
        <w:t>component; and Self-Regulated Learning Theory, whose forethought–performance–self-reflection cycle connects both components to the responsibility outcome.</w:t>
      </w:r>
    </w:p>
    <w:p w14:paraId="2E405F1D" w14:textId="77777777" w:rsidR="006039F5" w:rsidRDefault="00000000" w:rsidP="00492CD6">
      <w:pPr>
        <w:adjustRightInd w:val="0"/>
        <w:snapToGrid w:val="0"/>
        <w:spacing w:after="100"/>
        <w:ind w:firstLine="480"/>
        <w:jc w:val="both"/>
      </w:pPr>
      <w:r>
        <w:rPr>
          <w:rFonts w:cs="Times New Roman"/>
        </w:rPr>
        <w:t>The study is significant at several levels. Practically, the FC-SVA-BM offers a replicable, technology-accessible model that targets the dual deficiency in shooting proficiency and responsibility development that conventional curricula have struggled to resolve; because smartphone and tablet access in Chinese secondary schools exceeds 92% (CNNIC, 2023), the infrastructure for self-video analysis is broadly available without prohibitive investment. At the curricular and policy level, the study responds directly to the revised 2022 Physical Education and Health Curriculum Standards, which mandate the integration of digital technology, self-management, and social responsibility within PE. At the research level, it addresses three gaps: a population gap, since prior flipped-PE and SVA work has focused on university athletes rather than general high school cohorts; an intervention gap, since no study has unified FCM and SVA with a validated development phase; and an outcome gap, since no study has simultaneously tested the effects of such integration on a psychomotor and an affective-behavioral outcome in secondary PE. Conceptually, the model is framed as an input–process–output system in which the three instructional components (input) drive reduced cognitive load, structured observational comparison, and iterative self-regulation (process), which in turn produce gains in both shooting skill and responsibility (output).</w:t>
      </w:r>
    </w:p>
    <w:p w14:paraId="768D9FCB" w14:textId="77777777" w:rsidR="006039F5" w:rsidRDefault="00000000" w:rsidP="00492CD6">
      <w:pPr>
        <w:adjustRightInd w:val="0"/>
        <w:snapToGrid w:val="0"/>
        <w:spacing w:before="160" w:after="80"/>
      </w:pPr>
      <w:r>
        <w:rPr>
          <w:rFonts w:cs="Times New Roman"/>
          <w:b/>
          <w:bCs/>
        </w:rPr>
        <w:t>Research Objectives</w:t>
      </w:r>
    </w:p>
    <w:p w14:paraId="32381ACB" w14:textId="77777777" w:rsidR="006039F5" w:rsidRDefault="00000000" w:rsidP="00492CD6">
      <w:pPr>
        <w:adjustRightInd w:val="0"/>
        <w:snapToGrid w:val="0"/>
        <w:spacing w:after="60"/>
        <w:ind w:left="720" w:hanging="360"/>
        <w:jc w:val="both"/>
      </w:pPr>
      <w:r>
        <w:rPr>
          <w:rFonts w:cs="Times New Roman"/>
        </w:rPr>
        <w:t>1. To develop the FC-SVA-BM instructional model for basketball shooting in high school students and verify its content validity through qualified physical education expert evaluation.</w:t>
      </w:r>
    </w:p>
    <w:p w14:paraId="2D68B4BD" w14:textId="77777777" w:rsidR="006039F5" w:rsidRDefault="00000000" w:rsidP="00492CD6">
      <w:pPr>
        <w:adjustRightInd w:val="0"/>
        <w:snapToGrid w:val="0"/>
        <w:spacing w:after="60"/>
        <w:ind w:left="720" w:hanging="360"/>
        <w:jc w:val="both"/>
      </w:pPr>
      <w:r>
        <w:rPr>
          <w:rFonts w:cs="Times New Roman"/>
        </w:rPr>
        <w:t>2. To compare basketball shooting skill scores between an experimental group receiving FC-SVA-BM instruction and a control group receiving conventional instruction at pretest, midtest, and posttest.</w:t>
      </w:r>
    </w:p>
    <w:p w14:paraId="24EA8C15" w14:textId="77777777" w:rsidR="006039F5" w:rsidRDefault="00000000" w:rsidP="00492CD6">
      <w:pPr>
        <w:adjustRightInd w:val="0"/>
        <w:snapToGrid w:val="0"/>
        <w:spacing w:after="60"/>
        <w:ind w:left="720" w:hanging="360"/>
        <w:jc w:val="both"/>
      </w:pPr>
      <w:r>
        <w:rPr>
          <w:rFonts w:cs="Times New Roman"/>
        </w:rPr>
        <w:t>3. To compare personal and social responsibility scores between the experimental and control groups at pretest, midtest, and posttest.</w:t>
      </w:r>
    </w:p>
    <w:p w14:paraId="550CB7CD" w14:textId="77777777" w:rsidR="006039F5" w:rsidRDefault="00000000" w:rsidP="00492CD6">
      <w:pPr>
        <w:adjustRightInd w:val="0"/>
        <w:snapToGrid w:val="0"/>
        <w:spacing w:after="60"/>
        <w:ind w:left="720" w:hanging="360"/>
        <w:jc w:val="both"/>
      </w:pPr>
      <w:r>
        <w:rPr>
          <w:rFonts w:cs="Times New Roman"/>
        </w:rPr>
        <w:t>4. To examine within-group changes in shooting skill and responsibility across pretest, midtest, and posttest in the experimental group.</w:t>
      </w:r>
    </w:p>
    <w:p w14:paraId="63F419D3" w14:textId="77777777" w:rsidR="006039F5" w:rsidRDefault="00000000" w:rsidP="00492CD6">
      <w:pPr>
        <w:adjustRightInd w:val="0"/>
        <w:snapToGrid w:val="0"/>
        <w:spacing w:before="160" w:after="80"/>
      </w:pPr>
      <w:r>
        <w:rPr>
          <w:rFonts w:cs="Times New Roman"/>
          <w:b/>
          <w:bCs/>
        </w:rPr>
        <w:t>Hypothesis</w:t>
      </w:r>
    </w:p>
    <w:p w14:paraId="268F9224" w14:textId="77777777" w:rsidR="006039F5" w:rsidRDefault="00000000" w:rsidP="00492CD6">
      <w:pPr>
        <w:adjustRightInd w:val="0"/>
        <w:snapToGrid w:val="0"/>
        <w:spacing w:after="60"/>
        <w:ind w:left="720" w:hanging="360"/>
        <w:jc w:val="both"/>
      </w:pPr>
      <w:r>
        <w:rPr>
          <w:rFonts w:cs="Times New Roman"/>
        </w:rPr>
        <w:t>H1: All FC-SVA-BM items will achieve satisfactory content validity (IOC ≥ 0.50) as evaluated by qualified physical education experts.</w:t>
      </w:r>
    </w:p>
    <w:p w14:paraId="6CE6246D" w14:textId="77777777" w:rsidR="006039F5" w:rsidRDefault="00000000" w:rsidP="00492CD6">
      <w:pPr>
        <w:adjustRightInd w:val="0"/>
        <w:snapToGrid w:val="0"/>
        <w:spacing w:after="60"/>
        <w:ind w:left="720" w:hanging="360"/>
        <w:jc w:val="both"/>
      </w:pPr>
      <w:r>
        <w:rPr>
          <w:rFonts w:cs="Times New Roman"/>
        </w:rPr>
        <w:t>H2: The experimental group will demonstrate significantly higher shooting skill scores than the control group at midtest and posttest, with no significant difference at pretest.</w:t>
      </w:r>
    </w:p>
    <w:p w14:paraId="54105006" w14:textId="77777777" w:rsidR="006039F5" w:rsidRDefault="00000000" w:rsidP="00492CD6">
      <w:pPr>
        <w:adjustRightInd w:val="0"/>
        <w:snapToGrid w:val="0"/>
        <w:spacing w:after="60"/>
        <w:ind w:left="720" w:hanging="360"/>
        <w:jc w:val="both"/>
      </w:pPr>
      <w:r>
        <w:rPr>
          <w:rFonts w:cs="Times New Roman"/>
        </w:rPr>
        <w:t>H3: The experimental group will demonstrate significantly higher responsibility scores than the control group at midtest and posttest, with no significant difference at pretest.</w:t>
      </w:r>
    </w:p>
    <w:p w14:paraId="10DADBB6" w14:textId="77777777" w:rsidR="006039F5" w:rsidRDefault="00000000" w:rsidP="00492CD6">
      <w:pPr>
        <w:adjustRightInd w:val="0"/>
        <w:snapToGrid w:val="0"/>
        <w:spacing w:after="60"/>
        <w:ind w:left="720" w:hanging="360"/>
        <w:jc w:val="both"/>
      </w:pPr>
      <w:r>
        <w:rPr>
          <w:rFonts w:cs="Times New Roman"/>
        </w:rPr>
        <w:t>H4: The experimental group will show statistically significant progressive improvement in both shooting skill and responsibility across pretest, midtest, and posttest.</w:t>
      </w:r>
    </w:p>
    <w:p w14:paraId="372B8D50" w14:textId="77777777" w:rsidR="006039F5" w:rsidRDefault="00000000" w:rsidP="00492CD6">
      <w:pPr>
        <w:adjustRightInd w:val="0"/>
        <w:snapToGrid w:val="0"/>
        <w:spacing w:before="160" w:after="80"/>
      </w:pPr>
      <w:r>
        <w:rPr>
          <w:rFonts w:cs="Times New Roman"/>
          <w:b/>
          <w:bCs/>
        </w:rPr>
        <w:t>Research Methods</w:t>
      </w:r>
    </w:p>
    <w:p w14:paraId="1CD918BF" w14:textId="77777777" w:rsidR="006039F5" w:rsidRDefault="00000000" w:rsidP="00492CD6">
      <w:pPr>
        <w:adjustRightInd w:val="0"/>
        <w:snapToGrid w:val="0"/>
        <w:spacing w:after="100"/>
        <w:ind w:firstLine="480"/>
        <w:jc w:val="both"/>
      </w:pPr>
      <w:r>
        <w:rPr>
          <w:rFonts w:cs="Times New Roman"/>
          <w:b/>
          <w:bCs/>
        </w:rPr>
        <w:t xml:space="preserve">Research design. </w:t>
      </w:r>
      <w:r>
        <w:rPr>
          <w:rFonts w:cs="Times New Roman"/>
        </w:rPr>
        <w:t>The study employed a Research and Development (R&amp;D) design integrated with a quasi-experimental approach across three sequential phases. Phase 1 (development) constructed the FC-SVA-BM and all associated materials and validated their content through expert review. Phase 2 (pilot) conducted a four-session feasibility trial with 15 non-participating Grade 10 students to assess time allocation, instrument comprehension, and preliminary reliability. Phase 3 (experimental) used a non-equivalent control group design with pretest (T1, Week 0), midtest (T2, Week 6), and posttest (T3, Week 12) for both groups.</w:t>
      </w:r>
    </w:p>
    <w:p w14:paraId="4F971354" w14:textId="77777777" w:rsidR="006039F5" w:rsidRDefault="00000000" w:rsidP="00492CD6">
      <w:pPr>
        <w:adjustRightInd w:val="0"/>
        <w:snapToGrid w:val="0"/>
        <w:spacing w:after="100"/>
        <w:ind w:firstLine="480"/>
        <w:jc w:val="both"/>
      </w:pPr>
      <w:r>
        <w:rPr>
          <w:rFonts w:cs="Times New Roman"/>
          <w:b/>
          <w:bCs/>
        </w:rPr>
        <w:lastRenderedPageBreak/>
        <w:t xml:space="preserve">Population and sample. </w:t>
      </w:r>
      <w:r>
        <w:rPr>
          <w:rFonts w:cs="Times New Roman"/>
        </w:rPr>
        <w:t>The target population was Grade 10 students (aged 15–16 years) in the general PE program at public secondary schools in Guangzhou, China, during the 2025–2026 academic year. Sample size was determined a priori using G*Power 3.1 (effect size f = 0.25, α = .05, power = .80), yielding a minimum of 52 participants; a final sample of 60 (30 per group) was adopted to allow for attrition. Purposive cluster sampling selected two intact PE classes matched on baseline characteristics, which were then randomly assigned to condition at the class level by a coin toss conducted by the school principal. After one withdrawal, the final analytical sample comprised 59 students (experimental group n = 29; control group n = 30).</w:t>
      </w:r>
    </w:p>
    <w:p w14:paraId="71CD6357" w14:textId="77777777" w:rsidR="006039F5" w:rsidRDefault="00000000" w:rsidP="00492CD6">
      <w:pPr>
        <w:adjustRightInd w:val="0"/>
        <w:snapToGrid w:val="0"/>
        <w:spacing w:after="100"/>
        <w:ind w:firstLine="480"/>
        <w:jc w:val="both"/>
      </w:pPr>
      <w:r>
        <w:rPr>
          <w:rFonts w:cs="Times New Roman"/>
          <w:b/>
          <w:bCs/>
        </w:rPr>
        <w:t xml:space="preserve">The FC-SVA-BM intervention. </w:t>
      </w:r>
      <w:r>
        <w:rPr>
          <w:rFonts w:cs="Times New Roman"/>
        </w:rPr>
        <w:t>The model was delivered as a 12-week, 24-session program (two 45-minute sessions per week) with three integrated components per cycle: (1) a pre-class video module of 10–15 minutes uploaded to WeChat 48 hours before class, covering the five shooting phases (stance, grip, set point, extension, follow-through); (2) in-class structured practice in which students recorded their own attempts using school tablets; and (3) a post-practice SVA review guided by a 16-item Shooting Technique Observation Checklist (STOC) and a session-by-session reflective log. Task complexity escalated from single-phase isolation drills (Weeks 1–4) to multi-phase integrated sequences (Weeks 5–8) and full-cycle consolidation under variable distance and angle (Weeks 9–12). STOC scaffolding was progressively faded across the program (full descriptors in Weeks 1–4, descriptor-faded with images retained in Weeks 5–8, and item prompts only in Weeks 9–12), and from Week 10 the reflective log added a bridging question inviting students to connect self-directed error correction to life beyond basketball. The control group received conventional direct instruction covering identical technical content without flipped delivery, self-recording, or structured reflection.</w:t>
      </w:r>
    </w:p>
    <w:p w14:paraId="6F68FB09" w14:textId="77777777" w:rsidR="006039F5" w:rsidRDefault="00000000" w:rsidP="00492CD6">
      <w:pPr>
        <w:adjustRightInd w:val="0"/>
        <w:snapToGrid w:val="0"/>
        <w:spacing w:after="100"/>
        <w:ind w:firstLine="480"/>
        <w:jc w:val="both"/>
      </w:pPr>
      <w:r>
        <w:rPr>
          <w:rFonts w:cs="Times New Roman"/>
          <w:b/>
          <w:bCs/>
        </w:rPr>
        <w:t xml:space="preserve">Instruments. </w:t>
      </w:r>
      <w:r>
        <w:t xml:space="preserve">Shooting skill was operationalized as a composite of accuracy (30 attempts across three zones) and a five-phase technique rating (20-point scale) from the AAHPERD Basketball Skills Test–Modified for Secondary School (Strand &amp; Wilson, 1993; criterion validity r = .78), with technique inter-rater reliability established in the pilot (ICC = 0.86). Responsibility was measured using the 14-item Personal and Social Responsibility Questionnaire </w:t>
      </w:r>
      <w:r>
        <w:rPr>
          <w:highlight w:val="yellow"/>
        </w:rPr>
        <w:t>(PSRQ)</w:t>
      </w:r>
      <w:r>
        <w:t>, which yields four subscales aligned with TPSR Levels I–IV; the Chinese-validated version (Liu et al., 2022) reported acceptable model fit and reliability (pilot α = .79–.84)</w:t>
      </w:r>
      <w:r>
        <w:rPr>
          <w:highlight w:val="yellow"/>
        </w:rPr>
        <w:t>, consistent with recent psychometric evidence for responsibility scales among Chinese students (Ren et al., 2023)</w:t>
      </w:r>
      <w:r>
        <w:t xml:space="preserve">. Content validity of the FC-SVA-BM and the STOC was established with five qualified PE experts (doctoral qualification; ≥ 10 years of basketball teaching or coaching experience) using the IOC method </w:t>
      </w:r>
      <w:r>
        <w:rPr>
          <w:highlight w:val="yellow"/>
        </w:rPr>
        <w:t>(Ismail &amp; Zubairi, 2022)</w:t>
      </w:r>
      <w:r>
        <w:t>.</w:t>
      </w:r>
    </w:p>
    <w:p w14:paraId="297380D5" w14:textId="77777777" w:rsidR="006039F5" w:rsidRDefault="00000000" w:rsidP="00492CD6">
      <w:pPr>
        <w:adjustRightInd w:val="0"/>
        <w:snapToGrid w:val="0"/>
        <w:spacing w:after="100"/>
        <w:ind w:firstLine="480"/>
        <w:jc w:val="both"/>
      </w:pPr>
      <w:r>
        <w:rPr>
          <w:rFonts w:cs="Times New Roman"/>
          <w:b/>
          <w:bCs/>
        </w:rPr>
        <w:t xml:space="preserve">Data analysis. </w:t>
      </w:r>
      <w:r>
        <w:rPr>
          <w:rFonts w:cs="Times New Roman"/>
        </w:rPr>
        <w:t>Analyses were conducted in SPSS 27.0 at α = .05. After verifying normality (Shapiro-Wilk), homogeneity of variance (Levene), and baseline equivalence (independent-samples t-tests and chi-square), a 2 (Group) × 3 (Time) mixed ANOVA tested Objectives 2 and 3, with the Group × Time interaction as the primary statistic and Bonferroni-corrected pairwise comparisons for follow-up. A one-way repeated measures ANOVA tested within-group change in the experimental group (Objective 4). Effect sizes were reported as partial eta-squared (η²ₚ) and Cohen's d. Instructional fidelity was monitored throughout via a 12-item implementation checklist.</w:t>
      </w:r>
    </w:p>
    <w:p w14:paraId="4F2228E5" w14:textId="77777777" w:rsidR="006039F5" w:rsidRDefault="00000000" w:rsidP="00492CD6">
      <w:pPr>
        <w:adjustRightInd w:val="0"/>
        <w:snapToGrid w:val="0"/>
        <w:spacing w:after="100"/>
        <w:ind w:firstLine="480"/>
        <w:jc w:val="both"/>
      </w:pPr>
      <w:r>
        <w:rPr>
          <w:rFonts w:cs="Times New Roman"/>
          <w:b/>
          <w:bCs/>
        </w:rPr>
        <w:t xml:space="preserve">Instrument development and validation. </w:t>
      </w:r>
      <w:r>
        <w:rPr>
          <w:rFonts w:cs="Times New Roman"/>
        </w:rPr>
        <w:t xml:space="preserve">The STOC comprises 12 binary (Yes/No) items assessing discrete, observationally verifiable technique markers across the five shooting phases and 4 graded (1–4) items assessing holistic movement quality (kinetic-chain smoothness, release consistency, follow-through stability, and overall balance), each accompanied by brief descriptors and still-image references drawn from the expert-model footage. It was developed through a four-stage process of literature-based item generation, expert consultation, pilot cognitive testing, and final IOC validation; all 16 items exceeded the 0.50 threshold (range 0.60–1.00; mean 0.84), and pilot inter-rater reliability for the composite reached ICC = 0.88. The reflective log captured, for </w:t>
      </w:r>
      <w:r>
        <w:rPr>
          <w:rFonts w:cs="Times New Roman"/>
        </w:rPr>
        <w:lastRenderedPageBreak/>
        <w:t>each session, a pre-class comprehension response, a technique-focus goal, a post-SVA identification of one primary error mapped to a STOC item, and a corrective action goal for the next session, providing both a self-regulation scaffold and a fidelity record collected by the teacher.</w:t>
      </w:r>
    </w:p>
    <w:p w14:paraId="6C87B7E6" w14:textId="77777777" w:rsidR="006039F5" w:rsidRDefault="00000000" w:rsidP="00492CD6">
      <w:pPr>
        <w:adjustRightInd w:val="0"/>
        <w:snapToGrid w:val="0"/>
        <w:spacing w:after="100"/>
        <w:ind w:firstLine="480"/>
        <w:jc w:val="both"/>
      </w:pPr>
      <w:r>
        <w:rPr>
          <w:rFonts w:cs="Times New Roman"/>
          <w:b/>
          <w:bCs/>
        </w:rPr>
        <w:t xml:space="preserve">Pilot trial. </w:t>
      </w:r>
      <w:r>
        <w:rPr>
          <w:rFonts w:cs="Times New Roman"/>
        </w:rPr>
        <w:t>A four-session pilot with 15 non-participating Grade 10 students assessed the time feasibility of the three-phase session structure within the 45-minute period, evaluated student comprehension of STOC items and log prompts through cognitive interviews, and generated preliminary reliability estimates. Findings led to specific refinements: the post-practice review window was reduced from 15 to 10 minutes to accommodate a brief pre-class quiz and equipment setup, the descriptors of two STOC items were simplified following low-comprehension feedback, and visual timeline cues were added to the log template to support time management.</w:t>
      </w:r>
    </w:p>
    <w:p w14:paraId="2DA6E32C" w14:textId="77777777" w:rsidR="006039F5" w:rsidRDefault="00000000" w:rsidP="00492CD6">
      <w:pPr>
        <w:adjustRightInd w:val="0"/>
        <w:snapToGrid w:val="0"/>
        <w:spacing w:after="100"/>
        <w:ind w:firstLine="480"/>
        <w:jc w:val="both"/>
      </w:pPr>
      <w:r>
        <w:rPr>
          <w:rFonts w:cs="Times New Roman"/>
          <w:b/>
          <w:bCs/>
        </w:rPr>
        <w:t xml:space="preserve">Ethics and procedures. </w:t>
      </w:r>
      <w:r>
        <w:rPr>
          <w:rFonts w:cs="Times New Roman"/>
        </w:rPr>
        <w:t>Ethical approval was granted by the Committee for Research Ethics (Social Sciences and Behavioral Sciences), Faculty of Education, Bangkokthonburi University (BTUIRB No. 2569/288(4)), with the research protocol, the participant information sheet, and the informed consent form approved on 30 March 2026 (certificate valid until 29 March 2027). The study was conducted in accordance with internationally recognized standards for the protection of human research participants, including the Declaration of Helsinki, the Belmont Report, and the CIOMS Guidelines. Site authorization was granted by the participating school. Written informed consent was obtained from a parent or legal guardian of every participant, together with student assent, and participation was voluntary with the assurance that withdrawal would not affect academic standing. Testing conditions were standardized across all three measurement points: the same gymnasium, time of day, equipment, scripted instructions, and two trained observers (technique component). The PSRQ was administered immediately before the shooting test at each point, with the teacher absent to reduce social-desirability bias. Data were double-entered by two research assistants, and outliers were screened using a ±3 SD criterion before any exclusion decision.</w:t>
      </w:r>
    </w:p>
    <w:p w14:paraId="7665E91F" w14:textId="77777777" w:rsidR="006039F5" w:rsidRDefault="00000000" w:rsidP="00492CD6">
      <w:pPr>
        <w:adjustRightInd w:val="0"/>
        <w:snapToGrid w:val="0"/>
        <w:spacing w:before="160" w:after="80"/>
      </w:pPr>
      <w:r>
        <w:rPr>
          <w:rFonts w:cs="Times New Roman"/>
          <w:b/>
          <w:bCs/>
        </w:rPr>
        <w:t>Research Results</w:t>
      </w:r>
    </w:p>
    <w:p w14:paraId="3EAD37CF" w14:textId="77777777" w:rsidR="006039F5" w:rsidRDefault="00000000" w:rsidP="00492CD6">
      <w:pPr>
        <w:adjustRightInd w:val="0"/>
        <w:snapToGrid w:val="0"/>
        <w:spacing w:after="100"/>
        <w:ind w:firstLine="480"/>
        <w:jc w:val="both"/>
      </w:pPr>
      <w:r>
        <w:rPr>
          <w:rFonts w:cs="Times New Roman"/>
          <w:b/>
          <w:bCs/>
        </w:rPr>
        <w:t xml:space="preserve">Preliminary analyses. </w:t>
      </w:r>
      <w:r>
        <w:rPr>
          <w:rFonts w:cs="Times New Roman"/>
        </w:rPr>
        <w:t>The two groups did not differ significantly on any baseline characteristic (all p &gt; .05; Table 1). All dependent variables met normality (all W &gt; .94, p &gt; .05) and homogeneity of variance (all Levene F &lt; 2.18, p &gt; .14) at every measurement point. Baseline equivalence was confirmed for shooting skill, t(57) = 0.38, p = .706, and PSRQ total, t(57) = 0.52, p = .605, so ANCOVA adjustment was not required. Instructional fidelity was high, averaging 88.3% of checklist items across the 24 sessions, with no session below the 80% threshold.</w:t>
      </w:r>
    </w:p>
    <w:p w14:paraId="1642C91B" w14:textId="77777777" w:rsidR="006039F5" w:rsidRDefault="00000000" w:rsidP="00492CD6">
      <w:pPr>
        <w:adjustRightInd w:val="0"/>
        <w:snapToGrid w:val="0"/>
        <w:spacing w:before="140" w:after="60"/>
      </w:pPr>
      <w:r>
        <w:rPr>
          <w:rFonts w:cs="Times New Roman"/>
          <w:b/>
          <w:bCs/>
          <w:sz w:val="22"/>
          <w:szCs w:val="22"/>
        </w:rPr>
        <w:t>Table 1  Demographic Characteristics of Participants by Group</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650"/>
        <w:gridCol w:w="1900"/>
        <w:gridCol w:w="1900"/>
        <w:gridCol w:w="1864"/>
      </w:tblGrid>
      <w:tr w:rsidR="006039F5" w14:paraId="63E41768" w14:textId="77777777">
        <w:tblPrEx>
          <w:tblCellMar>
            <w:top w:w="0" w:type="dxa"/>
            <w:bottom w:w="0" w:type="dxa"/>
          </w:tblCellMar>
        </w:tblPrEx>
        <w:trPr>
          <w:tblHeader/>
        </w:trPr>
        <w:tc>
          <w:tcPr>
            <w:tcW w:w="365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B29E089" w14:textId="77777777" w:rsidR="006039F5" w:rsidRDefault="00000000" w:rsidP="00492CD6">
            <w:pPr>
              <w:adjustRightInd w:val="0"/>
              <w:snapToGrid w:val="0"/>
            </w:pPr>
            <w:r>
              <w:rPr>
                <w:rFonts w:cs="Times New Roman"/>
                <w:b/>
                <w:bCs/>
                <w:sz w:val="20"/>
                <w:szCs w:val="20"/>
              </w:rPr>
              <w:t>Variable</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3097A570" w14:textId="77777777" w:rsidR="006039F5" w:rsidRDefault="00000000" w:rsidP="00492CD6">
            <w:pPr>
              <w:adjustRightInd w:val="0"/>
              <w:snapToGrid w:val="0"/>
              <w:jc w:val="center"/>
            </w:pPr>
            <w:r>
              <w:rPr>
                <w:rFonts w:cs="Times New Roman"/>
                <w:b/>
                <w:bCs/>
                <w:sz w:val="20"/>
                <w:szCs w:val="20"/>
              </w:rPr>
              <w:t>EG (n = 29)</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4B27FF8" w14:textId="77777777" w:rsidR="006039F5" w:rsidRDefault="00000000" w:rsidP="00492CD6">
            <w:pPr>
              <w:adjustRightInd w:val="0"/>
              <w:snapToGrid w:val="0"/>
              <w:jc w:val="center"/>
            </w:pPr>
            <w:r>
              <w:rPr>
                <w:rFonts w:cs="Times New Roman"/>
                <w:b/>
                <w:bCs/>
                <w:sz w:val="20"/>
                <w:szCs w:val="20"/>
              </w:rPr>
              <w:t>CG (n = 30)</w:t>
            </w:r>
          </w:p>
        </w:tc>
        <w:tc>
          <w:tcPr>
            <w:tcW w:w="186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EE43579" w14:textId="77777777" w:rsidR="006039F5" w:rsidRDefault="00000000" w:rsidP="00492CD6">
            <w:pPr>
              <w:adjustRightInd w:val="0"/>
              <w:snapToGrid w:val="0"/>
              <w:jc w:val="center"/>
            </w:pPr>
            <w:r>
              <w:rPr>
                <w:rFonts w:cs="Times New Roman"/>
                <w:b/>
                <w:bCs/>
                <w:sz w:val="20"/>
                <w:szCs w:val="20"/>
              </w:rPr>
              <w:t>p</w:t>
            </w:r>
          </w:p>
        </w:tc>
      </w:tr>
      <w:tr w:rsidR="006039F5" w14:paraId="73A1A38C" w14:textId="77777777">
        <w:tblPrEx>
          <w:tblCellMar>
            <w:top w:w="0" w:type="dxa"/>
            <w:bottom w:w="0" w:type="dxa"/>
          </w:tblCellMar>
        </w:tblPrEx>
        <w:tc>
          <w:tcPr>
            <w:tcW w:w="365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062D051" w14:textId="77777777" w:rsidR="006039F5" w:rsidRDefault="00000000" w:rsidP="00492CD6">
            <w:pPr>
              <w:adjustRightInd w:val="0"/>
              <w:snapToGrid w:val="0"/>
            </w:pPr>
            <w:r>
              <w:rPr>
                <w:rFonts w:cs="Times New Roman"/>
                <w:sz w:val="20"/>
                <w:szCs w:val="20"/>
              </w:rPr>
              <w:t>Age, years: M (SD)</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9DE7D9B" w14:textId="77777777" w:rsidR="006039F5" w:rsidRDefault="00000000" w:rsidP="00492CD6">
            <w:pPr>
              <w:adjustRightInd w:val="0"/>
              <w:snapToGrid w:val="0"/>
              <w:jc w:val="center"/>
            </w:pPr>
            <w:r>
              <w:rPr>
                <w:rFonts w:cs="Times New Roman"/>
                <w:sz w:val="20"/>
                <w:szCs w:val="20"/>
              </w:rPr>
              <w:t>15.62 (0.49)</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7857667" w14:textId="77777777" w:rsidR="006039F5" w:rsidRDefault="00000000" w:rsidP="00492CD6">
            <w:pPr>
              <w:adjustRightInd w:val="0"/>
              <w:snapToGrid w:val="0"/>
              <w:jc w:val="center"/>
            </w:pPr>
            <w:r>
              <w:rPr>
                <w:rFonts w:cs="Times New Roman"/>
                <w:sz w:val="20"/>
                <w:szCs w:val="20"/>
              </w:rPr>
              <w:t>15.57 (0.50)</w:t>
            </w:r>
          </w:p>
        </w:tc>
        <w:tc>
          <w:tcPr>
            <w:tcW w:w="186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61C381E" w14:textId="77777777" w:rsidR="006039F5" w:rsidRDefault="00000000" w:rsidP="00492CD6">
            <w:pPr>
              <w:adjustRightInd w:val="0"/>
              <w:snapToGrid w:val="0"/>
              <w:jc w:val="center"/>
            </w:pPr>
            <w:r>
              <w:rPr>
                <w:rFonts w:cs="Times New Roman"/>
                <w:sz w:val="20"/>
                <w:szCs w:val="20"/>
              </w:rPr>
              <w:t>.685</w:t>
            </w:r>
          </w:p>
        </w:tc>
      </w:tr>
      <w:tr w:rsidR="006039F5" w14:paraId="7EFF6071" w14:textId="77777777">
        <w:tblPrEx>
          <w:tblCellMar>
            <w:top w:w="0" w:type="dxa"/>
            <w:bottom w:w="0" w:type="dxa"/>
          </w:tblCellMar>
        </w:tblPrEx>
        <w:tc>
          <w:tcPr>
            <w:tcW w:w="365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B0C2B19" w14:textId="77777777" w:rsidR="006039F5" w:rsidRDefault="00000000" w:rsidP="00492CD6">
            <w:pPr>
              <w:adjustRightInd w:val="0"/>
              <w:snapToGrid w:val="0"/>
            </w:pPr>
            <w:r>
              <w:rPr>
                <w:rFonts w:cs="Times New Roman"/>
                <w:sz w:val="20"/>
                <w:szCs w:val="20"/>
              </w:rPr>
              <w:t>Female, n (%)</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CDE0D83" w14:textId="5B715241" w:rsidR="006039F5" w:rsidRDefault="00000000" w:rsidP="00492CD6">
            <w:pPr>
              <w:adjustRightInd w:val="0"/>
              <w:snapToGrid w:val="0"/>
              <w:jc w:val="center"/>
            </w:pPr>
            <w:r>
              <w:rPr>
                <w:rFonts w:cs="Times New Roman"/>
                <w:sz w:val="20"/>
                <w:szCs w:val="20"/>
              </w:rPr>
              <w:t>14 (48.3</w:t>
            </w:r>
            <w:r w:rsidR="00B6472E">
              <w:rPr>
                <w:rFonts w:cs="Times New Roman"/>
                <w:sz w:val="20"/>
                <w:szCs w:val="20"/>
              </w:rPr>
              <w:t>0</w:t>
            </w:r>
            <w:r>
              <w:rPr>
                <w:rFonts w:cs="Times New Roman"/>
                <w:sz w:val="20"/>
                <w:szCs w:val="20"/>
              </w:rPr>
              <w:t>%)</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DB9339B" w14:textId="717F8274" w:rsidR="006039F5" w:rsidRDefault="00000000" w:rsidP="00492CD6">
            <w:pPr>
              <w:adjustRightInd w:val="0"/>
              <w:snapToGrid w:val="0"/>
              <w:jc w:val="center"/>
            </w:pPr>
            <w:r>
              <w:rPr>
                <w:rFonts w:cs="Times New Roman"/>
                <w:sz w:val="20"/>
                <w:szCs w:val="20"/>
              </w:rPr>
              <w:t>15 (50.0</w:t>
            </w:r>
            <w:r w:rsidR="00B6472E">
              <w:rPr>
                <w:rFonts w:cs="Times New Roman"/>
                <w:sz w:val="20"/>
                <w:szCs w:val="20"/>
              </w:rPr>
              <w:t>0</w:t>
            </w:r>
            <w:r>
              <w:rPr>
                <w:rFonts w:cs="Times New Roman"/>
                <w:sz w:val="20"/>
                <w:szCs w:val="20"/>
              </w:rPr>
              <w:t>%)</w:t>
            </w:r>
          </w:p>
        </w:tc>
        <w:tc>
          <w:tcPr>
            <w:tcW w:w="186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4FD930E" w14:textId="77777777" w:rsidR="006039F5" w:rsidRDefault="00000000" w:rsidP="00492CD6">
            <w:pPr>
              <w:adjustRightInd w:val="0"/>
              <w:snapToGrid w:val="0"/>
              <w:jc w:val="center"/>
            </w:pPr>
            <w:r>
              <w:rPr>
                <w:rFonts w:cs="Times New Roman"/>
                <w:sz w:val="20"/>
                <w:szCs w:val="20"/>
              </w:rPr>
              <w:t>.898</w:t>
            </w:r>
          </w:p>
        </w:tc>
      </w:tr>
      <w:tr w:rsidR="006039F5" w14:paraId="5FEF4E7A" w14:textId="77777777">
        <w:tblPrEx>
          <w:tblCellMar>
            <w:top w:w="0" w:type="dxa"/>
            <w:bottom w:w="0" w:type="dxa"/>
          </w:tblCellMar>
        </w:tblPrEx>
        <w:tc>
          <w:tcPr>
            <w:tcW w:w="365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623BF85" w14:textId="77777777" w:rsidR="006039F5" w:rsidRDefault="00000000" w:rsidP="00492CD6">
            <w:pPr>
              <w:adjustRightInd w:val="0"/>
              <w:snapToGrid w:val="0"/>
            </w:pPr>
            <w:r>
              <w:rPr>
                <w:rFonts w:cs="Times New Roman"/>
                <w:sz w:val="20"/>
                <w:szCs w:val="20"/>
              </w:rPr>
              <w:t>Prior sport participation, n (%)</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4771D85" w14:textId="256D69C5" w:rsidR="006039F5" w:rsidRDefault="00000000" w:rsidP="00492CD6">
            <w:pPr>
              <w:adjustRightInd w:val="0"/>
              <w:snapToGrid w:val="0"/>
              <w:jc w:val="center"/>
            </w:pPr>
            <w:r>
              <w:rPr>
                <w:rFonts w:cs="Times New Roman"/>
                <w:sz w:val="20"/>
                <w:szCs w:val="20"/>
              </w:rPr>
              <w:t>6 (20.7</w:t>
            </w:r>
            <w:r w:rsidR="00B6472E">
              <w:rPr>
                <w:rFonts w:cs="Times New Roman"/>
                <w:sz w:val="20"/>
                <w:szCs w:val="20"/>
              </w:rPr>
              <w:t>0</w:t>
            </w:r>
            <w:r>
              <w:rPr>
                <w:rFonts w:cs="Times New Roman"/>
                <w:sz w:val="20"/>
                <w:szCs w:val="20"/>
              </w:rPr>
              <w:t>%)</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8B446BE" w14:textId="43BC9ED1" w:rsidR="006039F5" w:rsidRDefault="00000000" w:rsidP="00492CD6">
            <w:pPr>
              <w:adjustRightInd w:val="0"/>
              <w:snapToGrid w:val="0"/>
              <w:jc w:val="center"/>
            </w:pPr>
            <w:r>
              <w:rPr>
                <w:rFonts w:cs="Times New Roman"/>
                <w:sz w:val="20"/>
                <w:szCs w:val="20"/>
              </w:rPr>
              <w:t>7 (23.3</w:t>
            </w:r>
            <w:r w:rsidR="00B6472E">
              <w:rPr>
                <w:rFonts w:cs="Times New Roman"/>
                <w:sz w:val="20"/>
                <w:szCs w:val="20"/>
              </w:rPr>
              <w:t>0</w:t>
            </w:r>
            <w:r>
              <w:rPr>
                <w:rFonts w:cs="Times New Roman"/>
                <w:sz w:val="20"/>
                <w:szCs w:val="20"/>
              </w:rPr>
              <w:t>%)</w:t>
            </w:r>
          </w:p>
        </w:tc>
        <w:tc>
          <w:tcPr>
            <w:tcW w:w="186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70AAF2E" w14:textId="77777777" w:rsidR="006039F5" w:rsidRDefault="00000000" w:rsidP="00492CD6">
            <w:pPr>
              <w:adjustRightInd w:val="0"/>
              <w:snapToGrid w:val="0"/>
              <w:jc w:val="center"/>
            </w:pPr>
            <w:r>
              <w:rPr>
                <w:rFonts w:cs="Times New Roman"/>
                <w:sz w:val="20"/>
                <w:szCs w:val="20"/>
              </w:rPr>
              <w:t>.793</w:t>
            </w:r>
          </w:p>
        </w:tc>
      </w:tr>
      <w:tr w:rsidR="006039F5" w14:paraId="10434961" w14:textId="77777777">
        <w:tblPrEx>
          <w:tblCellMar>
            <w:top w:w="0" w:type="dxa"/>
            <w:bottom w:w="0" w:type="dxa"/>
          </w:tblCellMar>
        </w:tblPrEx>
        <w:tc>
          <w:tcPr>
            <w:tcW w:w="365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AA28532" w14:textId="77777777" w:rsidR="006039F5" w:rsidRDefault="00000000" w:rsidP="00492CD6">
            <w:pPr>
              <w:adjustRightInd w:val="0"/>
              <w:snapToGrid w:val="0"/>
            </w:pPr>
            <w:r>
              <w:rPr>
                <w:rFonts w:cs="Times New Roman"/>
                <w:sz w:val="20"/>
                <w:szCs w:val="20"/>
              </w:rPr>
              <w:t>Smartphone/WeChat access, n (%)</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7DCB810" w14:textId="77777777" w:rsidR="006039F5" w:rsidRDefault="00000000" w:rsidP="00492CD6">
            <w:pPr>
              <w:adjustRightInd w:val="0"/>
              <w:snapToGrid w:val="0"/>
              <w:jc w:val="center"/>
            </w:pPr>
            <w:r>
              <w:rPr>
                <w:rFonts w:cs="Times New Roman"/>
                <w:sz w:val="20"/>
                <w:szCs w:val="20"/>
              </w:rPr>
              <w:t>29 (100%)</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98E230A" w14:textId="77777777" w:rsidR="006039F5" w:rsidRDefault="00000000" w:rsidP="00492CD6">
            <w:pPr>
              <w:adjustRightInd w:val="0"/>
              <w:snapToGrid w:val="0"/>
              <w:jc w:val="center"/>
            </w:pPr>
            <w:r>
              <w:rPr>
                <w:rFonts w:cs="Times New Roman"/>
                <w:sz w:val="20"/>
                <w:szCs w:val="20"/>
              </w:rPr>
              <w:t>30 (100%)</w:t>
            </w:r>
          </w:p>
        </w:tc>
        <w:tc>
          <w:tcPr>
            <w:tcW w:w="186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CE31FAE" w14:textId="7FF17C2F" w:rsidR="006039F5" w:rsidRDefault="000B0D4D" w:rsidP="00492CD6">
            <w:pPr>
              <w:adjustRightInd w:val="0"/>
              <w:snapToGrid w:val="0"/>
              <w:jc w:val="center"/>
            </w:pPr>
            <w:r>
              <w:rPr>
                <w:rFonts w:cs="Times New Roman"/>
                <w:sz w:val="20"/>
                <w:szCs w:val="20"/>
              </w:rPr>
              <w:t xml:space="preserve"> </w:t>
            </w:r>
          </w:p>
        </w:tc>
      </w:tr>
    </w:tbl>
    <w:p w14:paraId="0062C8B0" w14:textId="77777777" w:rsidR="006039F5" w:rsidRDefault="00000000" w:rsidP="00492CD6">
      <w:pPr>
        <w:adjustRightInd w:val="0"/>
        <w:snapToGrid w:val="0"/>
        <w:spacing w:before="40" w:after="140"/>
      </w:pPr>
      <w:r>
        <w:rPr>
          <w:rFonts w:cs="Times New Roman"/>
          <w:i/>
          <w:iCs/>
          <w:sz w:val="20"/>
          <w:szCs w:val="20"/>
        </w:rPr>
        <w:t>Note. EG = experimental group; CG = control group. p from independent-samples t-test (age) or Pearson chi-square (categorical). No significant between-group differences.</w:t>
      </w:r>
    </w:p>
    <w:p w14:paraId="68B9AF1F" w14:textId="77777777" w:rsidR="006039F5" w:rsidRDefault="00000000" w:rsidP="00492CD6">
      <w:pPr>
        <w:adjustRightInd w:val="0"/>
        <w:snapToGrid w:val="0"/>
        <w:spacing w:after="100"/>
        <w:ind w:firstLine="480"/>
        <w:jc w:val="both"/>
      </w:pPr>
      <w:r>
        <w:rPr>
          <w:rFonts w:cs="Times New Roman"/>
          <w:b/>
          <w:bCs/>
        </w:rPr>
        <w:t xml:space="preserve">Objective 1: Content validity. </w:t>
      </w:r>
      <w:r>
        <w:rPr>
          <w:rFonts w:cs="Times New Roman"/>
        </w:rPr>
        <w:t>All 576 rated items across the four FC-SVA-BM components (192 lesson-plan items, 360 video-module items, 16 STOC items, and 8 reflective-log items) achieved IOC ≥ 0.50, with component means from 0.83 to 0.88 and an overall mean of 0.84 (Table 2). H1 was fully supported. Expert review identified two STOC items requiring descriptor clarification, which were revised before piloting.</w:t>
      </w:r>
    </w:p>
    <w:p w14:paraId="36803864" w14:textId="77777777" w:rsidR="006039F5" w:rsidRDefault="00000000" w:rsidP="00492CD6">
      <w:pPr>
        <w:adjustRightInd w:val="0"/>
        <w:snapToGrid w:val="0"/>
        <w:spacing w:before="140" w:after="60"/>
      </w:pPr>
      <w:r>
        <w:rPr>
          <w:rFonts w:cs="Times New Roman"/>
          <w:b/>
          <w:bCs/>
          <w:sz w:val="22"/>
          <w:szCs w:val="22"/>
        </w:rPr>
        <w:lastRenderedPageBreak/>
        <w:t>Table 2  IOC Content Validity Results by Component (N = 5 Experts)</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914"/>
        <w:gridCol w:w="1300"/>
        <w:gridCol w:w="1300"/>
        <w:gridCol w:w="1300"/>
        <w:gridCol w:w="1500"/>
      </w:tblGrid>
      <w:tr w:rsidR="006039F5" w14:paraId="27A9A9C0" w14:textId="77777777">
        <w:tblPrEx>
          <w:tblCellMar>
            <w:top w:w="0" w:type="dxa"/>
            <w:bottom w:w="0" w:type="dxa"/>
          </w:tblCellMar>
        </w:tblPrEx>
        <w:trPr>
          <w:tblHeader/>
        </w:trPr>
        <w:tc>
          <w:tcPr>
            <w:tcW w:w="39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0002D6A" w14:textId="77777777" w:rsidR="006039F5" w:rsidRDefault="00000000" w:rsidP="00492CD6">
            <w:pPr>
              <w:adjustRightInd w:val="0"/>
              <w:snapToGrid w:val="0"/>
            </w:pPr>
            <w:r>
              <w:rPr>
                <w:rFonts w:cs="Times New Roman"/>
                <w:b/>
                <w:bCs/>
                <w:sz w:val="20"/>
                <w:szCs w:val="20"/>
              </w:rPr>
              <w:t>Component</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1DB3A96" w14:textId="77777777" w:rsidR="006039F5" w:rsidRDefault="00000000" w:rsidP="00492CD6">
            <w:pPr>
              <w:adjustRightInd w:val="0"/>
              <w:snapToGrid w:val="0"/>
              <w:jc w:val="center"/>
            </w:pPr>
            <w:r>
              <w:rPr>
                <w:rFonts w:cs="Times New Roman"/>
                <w:b/>
                <w:bCs/>
                <w:sz w:val="20"/>
                <w:szCs w:val="20"/>
              </w:rPr>
              <w:t>N items</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626368BA" w14:textId="77777777" w:rsidR="006039F5" w:rsidRDefault="00000000" w:rsidP="00492CD6">
            <w:pPr>
              <w:adjustRightInd w:val="0"/>
              <w:snapToGrid w:val="0"/>
              <w:jc w:val="center"/>
            </w:pPr>
            <w:r>
              <w:rPr>
                <w:rFonts w:cs="Times New Roman"/>
                <w:b/>
                <w:bCs/>
                <w:sz w:val="20"/>
                <w:szCs w:val="20"/>
              </w:rPr>
              <w:t>IOC min</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AB5986A" w14:textId="77777777" w:rsidR="006039F5" w:rsidRDefault="00000000" w:rsidP="00492CD6">
            <w:pPr>
              <w:adjustRightInd w:val="0"/>
              <w:snapToGrid w:val="0"/>
              <w:jc w:val="center"/>
            </w:pPr>
            <w:r>
              <w:rPr>
                <w:rFonts w:cs="Times New Roman"/>
                <w:b/>
                <w:bCs/>
                <w:sz w:val="20"/>
                <w:szCs w:val="20"/>
              </w:rPr>
              <w:t>IOC mean</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3A4E31D" w14:textId="77777777" w:rsidR="006039F5" w:rsidRDefault="00000000" w:rsidP="00492CD6">
            <w:pPr>
              <w:adjustRightInd w:val="0"/>
              <w:snapToGrid w:val="0"/>
              <w:jc w:val="center"/>
            </w:pPr>
            <w:r>
              <w:rPr>
                <w:rFonts w:cs="Times New Roman"/>
                <w:b/>
                <w:bCs/>
                <w:sz w:val="20"/>
                <w:szCs w:val="20"/>
              </w:rPr>
              <w:t>Pass (%)</w:t>
            </w:r>
          </w:p>
        </w:tc>
      </w:tr>
      <w:tr w:rsidR="006039F5" w14:paraId="4B4A5364" w14:textId="77777777">
        <w:tblPrEx>
          <w:tblCellMar>
            <w:top w:w="0" w:type="dxa"/>
            <w:bottom w:w="0" w:type="dxa"/>
          </w:tblCellMar>
        </w:tblPrEx>
        <w:tc>
          <w:tcPr>
            <w:tcW w:w="3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2E1F8E7" w14:textId="77777777" w:rsidR="006039F5" w:rsidRDefault="00000000" w:rsidP="00492CD6">
            <w:pPr>
              <w:adjustRightInd w:val="0"/>
              <w:snapToGrid w:val="0"/>
            </w:pPr>
            <w:r>
              <w:rPr>
                <w:rFonts w:cs="Times New Roman"/>
                <w:sz w:val="20"/>
                <w:szCs w:val="20"/>
              </w:rPr>
              <w:t>Lesson plan sequence &amp; progression</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2167AB4" w14:textId="77777777" w:rsidR="006039F5" w:rsidRDefault="00000000" w:rsidP="00492CD6">
            <w:pPr>
              <w:adjustRightInd w:val="0"/>
              <w:snapToGrid w:val="0"/>
              <w:jc w:val="center"/>
            </w:pPr>
            <w:r>
              <w:rPr>
                <w:rFonts w:cs="Times New Roman"/>
                <w:sz w:val="20"/>
                <w:szCs w:val="20"/>
              </w:rPr>
              <w:t>192</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36E1B7D" w14:textId="77777777" w:rsidR="006039F5" w:rsidRDefault="00000000" w:rsidP="00492CD6">
            <w:pPr>
              <w:adjustRightInd w:val="0"/>
              <w:snapToGrid w:val="0"/>
              <w:jc w:val="center"/>
            </w:pPr>
            <w:r>
              <w:rPr>
                <w:rFonts w:cs="Times New Roman"/>
                <w:sz w:val="20"/>
                <w:szCs w:val="20"/>
              </w:rPr>
              <w:t>0.60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2216AEB" w14:textId="77777777" w:rsidR="006039F5" w:rsidRDefault="00000000" w:rsidP="00492CD6">
            <w:pPr>
              <w:adjustRightInd w:val="0"/>
              <w:snapToGrid w:val="0"/>
              <w:jc w:val="center"/>
            </w:pPr>
            <w:r>
              <w:rPr>
                <w:rFonts w:cs="Times New Roman"/>
                <w:sz w:val="20"/>
                <w:szCs w:val="20"/>
              </w:rPr>
              <w:t>0.84</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70F916A" w14:textId="77777777" w:rsidR="006039F5" w:rsidRDefault="00000000" w:rsidP="00492CD6">
            <w:pPr>
              <w:adjustRightInd w:val="0"/>
              <w:snapToGrid w:val="0"/>
              <w:jc w:val="center"/>
            </w:pPr>
            <w:r>
              <w:rPr>
                <w:rFonts w:cs="Times New Roman"/>
                <w:sz w:val="20"/>
                <w:szCs w:val="20"/>
              </w:rPr>
              <w:t>100%</w:t>
            </w:r>
          </w:p>
        </w:tc>
      </w:tr>
      <w:tr w:rsidR="006039F5" w14:paraId="479F2CFA" w14:textId="77777777">
        <w:tblPrEx>
          <w:tblCellMar>
            <w:top w:w="0" w:type="dxa"/>
            <w:bottom w:w="0" w:type="dxa"/>
          </w:tblCellMar>
        </w:tblPrEx>
        <w:tc>
          <w:tcPr>
            <w:tcW w:w="3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D6E12E5" w14:textId="77777777" w:rsidR="006039F5" w:rsidRDefault="00000000" w:rsidP="00492CD6">
            <w:pPr>
              <w:adjustRightInd w:val="0"/>
              <w:snapToGrid w:val="0"/>
            </w:pPr>
            <w:r>
              <w:rPr>
                <w:rFonts w:cs="Times New Roman"/>
                <w:sz w:val="20"/>
                <w:szCs w:val="20"/>
              </w:rPr>
              <w:t>Pre-class video module content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2D7C6CB" w14:textId="77777777" w:rsidR="006039F5" w:rsidRDefault="00000000" w:rsidP="00492CD6">
            <w:pPr>
              <w:adjustRightInd w:val="0"/>
              <w:snapToGrid w:val="0"/>
              <w:jc w:val="center"/>
            </w:pPr>
            <w:r>
              <w:rPr>
                <w:rFonts w:cs="Times New Roman"/>
                <w:sz w:val="20"/>
                <w:szCs w:val="20"/>
              </w:rPr>
              <w:t>360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AF206EE" w14:textId="77777777" w:rsidR="006039F5" w:rsidRDefault="00000000" w:rsidP="00492CD6">
            <w:pPr>
              <w:adjustRightInd w:val="0"/>
              <w:snapToGrid w:val="0"/>
              <w:jc w:val="center"/>
            </w:pPr>
            <w:r>
              <w:rPr>
                <w:rFonts w:cs="Times New Roman"/>
                <w:sz w:val="20"/>
                <w:szCs w:val="20"/>
              </w:rPr>
              <w:t>0.60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200A03F" w14:textId="77777777" w:rsidR="006039F5" w:rsidRDefault="00000000" w:rsidP="00492CD6">
            <w:pPr>
              <w:adjustRightInd w:val="0"/>
              <w:snapToGrid w:val="0"/>
              <w:jc w:val="center"/>
            </w:pPr>
            <w:r>
              <w:rPr>
                <w:rFonts w:cs="Times New Roman"/>
                <w:sz w:val="20"/>
                <w:szCs w:val="20"/>
              </w:rPr>
              <w:t>0.83</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D105BD2" w14:textId="77777777" w:rsidR="006039F5" w:rsidRDefault="00000000" w:rsidP="00492CD6">
            <w:pPr>
              <w:adjustRightInd w:val="0"/>
              <w:snapToGrid w:val="0"/>
              <w:jc w:val="center"/>
            </w:pPr>
            <w:r>
              <w:rPr>
                <w:rFonts w:cs="Times New Roman"/>
                <w:sz w:val="20"/>
                <w:szCs w:val="20"/>
              </w:rPr>
              <w:t>100%</w:t>
            </w:r>
          </w:p>
        </w:tc>
      </w:tr>
      <w:tr w:rsidR="006039F5" w14:paraId="4B08E8F8" w14:textId="77777777">
        <w:tblPrEx>
          <w:tblCellMar>
            <w:top w:w="0" w:type="dxa"/>
            <w:bottom w:w="0" w:type="dxa"/>
          </w:tblCellMar>
        </w:tblPrEx>
        <w:tc>
          <w:tcPr>
            <w:tcW w:w="3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08D5AAC" w14:textId="77777777" w:rsidR="006039F5" w:rsidRDefault="00000000" w:rsidP="00492CD6">
            <w:pPr>
              <w:adjustRightInd w:val="0"/>
              <w:snapToGrid w:val="0"/>
            </w:pPr>
            <w:r>
              <w:rPr>
                <w:rFonts w:cs="Times New Roman"/>
                <w:sz w:val="20"/>
                <w:szCs w:val="20"/>
              </w:rPr>
              <w:t>Shooting Technique Observation Checklist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9DC48E3" w14:textId="77777777" w:rsidR="006039F5" w:rsidRDefault="00000000" w:rsidP="00492CD6">
            <w:pPr>
              <w:adjustRightInd w:val="0"/>
              <w:snapToGrid w:val="0"/>
              <w:jc w:val="center"/>
            </w:pPr>
            <w:r>
              <w:rPr>
                <w:rFonts w:cs="Times New Roman"/>
                <w:sz w:val="20"/>
                <w:szCs w:val="20"/>
              </w:rPr>
              <w:t>16</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2E4DC1E" w14:textId="77777777" w:rsidR="006039F5" w:rsidRDefault="00000000" w:rsidP="00492CD6">
            <w:pPr>
              <w:adjustRightInd w:val="0"/>
              <w:snapToGrid w:val="0"/>
              <w:jc w:val="center"/>
            </w:pPr>
            <w:r>
              <w:rPr>
                <w:rFonts w:cs="Times New Roman"/>
                <w:sz w:val="20"/>
                <w:szCs w:val="20"/>
              </w:rPr>
              <w:t>0.60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0DD58D3" w14:textId="77777777" w:rsidR="006039F5" w:rsidRDefault="00000000" w:rsidP="00492CD6">
            <w:pPr>
              <w:adjustRightInd w:val="0"/>
              <w:snapToGrid w:val="0"/>
              <w:jc w:val="center"/>
            </w:pPr>
            <w:r>
              <w:rPr>
                <w:rFonts w:cs="Times New Roman"/>
                <w:sz w:val="20"/>
                <w:szCs w:val="20"/>
              </w:rPr>
              <w:t>0.84</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6A535AC" w14:textId="77777777" w:rsidR="006039F5" w:rsidRDefault="00000000" w:rsidP="00492CD6">
            <w:pPr>
              <w:adjustRightInd w:val="0"/>
              <w:snapToGrid w:val="0"/>
              <w:jc w:val="center"/>
            </w:pPr>
            <w:r>
              <w:rPr>
                <w:rFonts w:cs="Times New Roman"/>
                <w:sz w:val="20"/>
                <w:szCs w:val="20"/>
              </w:rPr>
              <w:t>100%</w:t>
            </w:r>
          </w:p>
        </w:tc>
      </w:tr>
      <w:tr w:rsidR="006039F5" w14:paraId="288C6FAF" w14:textId="77777777">
        <w:tblPrEx>
          <w:tblCellMar>
            <w:top w:w="0" w:type="dxa"/>
            <w:bottom w:w="0" w:type="dxa"/>
          </w:tblCellMar>
        </w:tblPrEx>
        <w:tc>
          <w:tcPr>
            <w:tcW w:w="3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FDE3D19" w14:textId="77777777" w:rsidR="006039F5" w:rsidRDefault="00000000" w:rsidP="00492CD6">
            <w:pPr>
              <w:adjustRightInd w:val="0"/>
              <w:snapToGrid w:val="0"/>
            </w:pPr>
            <w:r>
              <w:rPr>
                <w:rFonts w:cs="Times New Roman"/>
                <w:sz w:val="20"/>
                <w:szCs w:val="20"/>
              </w:rPr>
              <w:t>Reflective log format &amp; prompts</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BDABB19" w14:textId="77777777" w:rsidR="006039F5" w:rsidRDefault="00000000" w:rsidP="00492CD6">
            <w:pPr>
              <w:adjustRightInd w:val="0"/>
              <w:snapToGrid w:val="0"/>
              <w:jc w:val="center"/>
            </w:pPr>
            <w:r>
              <w:rPr>
                <w:rFonts w:cs="Times New Roman"/>
                <w:sz w:val="20"/>
                <w:szCs w:val="20"/>
              </w:rPr>
              <w:t>8</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148B82E" w14:textId="77777777" w:rsidR="006039F5" w:rsidRDefault="00000000" w:rsidP="00492CD6">
            <w:pPr>
              <w:adjustRightInd w:val="0"/>
              <w:snapToGrid w:val="0"/>
              <w:jc w:val="center"/>
            </w:pPr>
            <w:r>
              <w:rPr>
                <w:rFonts w:cs="Times New Roman"/>
                <w:sz w:val="20"/>
                <w:szCs w:val="20"/>
              </w:rPr>
              <w:t>0.60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DCE6732" w14:textId="77777777" w:rsidR="006039F5" w:rsidRDefault="00000000" w:rsidP="00492CD6">
            <w:pPr>
              <w:adjustRightInd w:val="0"/>
              <w:snapToGrid w:val="0"/>
              <w:jc w:val="center"/>
            </w:pPr>
            <w:r>
              <w:rPr>
                <w:rFonts w:cs="Times New Roman"/>
                <w:sz w:val="20"/>
                <w:szCs w:val="20"/>
              </w:rPr>
              <w:t>0.88</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259C2A0" w14:textId="77777777" w:rsidR="006039F5" w:rsidRDefault="00000000" w:rsidP="00492CD6">
            <w:pPr>
              <w:adjustRightInd w:val="0"/>
              <w:snapToGrid w:val="0"/>
              <w:jc w:val="center"/>
            </w:pPr>
            <w:r>
              <w:rPr>
                <w:rFonts w:cs="Times New Roman"/>
                <w:sz w:val="20"/>
                <w:szCs w:val="20"/>
              </w:rPr>
              <w:t>100%</w:t>
            </w:r>
          </w:p>
        </w:tc>
      </w:tr>
      <w:tr w:rsidR="006039F5" w14:paraId="50AC1ADF" w14:textId="77777777">
        <w:tblPrEx>
          <w:tblCellMar>
            <w:top w:w="0" w:type="dxa"/>
            <w:bottom w:w="0" w:type="dxa"/>
          </w:tblCellMar>
        </w:tblPrEx>
        <w:tc>
          <w:tcPr>
            <w:tcW w:w="39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2EA55435" w14:textId="77777777" w:rsidR="006039F5" w:rsidRDefault="00000000" w:rsidP="00492CD6">
            <w:pPr>
              <w:adjustRightInd w:val="0"/>
              <w:snapToGrid w:val="0"/>
            </w:pPr>
            <w:r>
              <w:rPr>
                <w:rFonts w:cs="Times New Roman"/>
                <w:sz w:val="20"/>
                <w:szCs w:val="20"/>
              </w:rPr>
              <w:t>Total / Overall</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179C419C" w14:textId="77777777" w:rsidR="006039F5" w:rsidRDefault="00000000" w:rsidP="00492CD6">
            <w:pPr>
              <w:adjustRightInd w:val="0"/>
              <w:snapToGrid w:val="0"/>
              <w:jc w:val="center"/>
            </w:pPr>
            <w:r>
              <w:rPr>
                <w:rFonts w:cs="Times New Roman"/>
                <w:sz w:val="20"/>
                <w:szCs w:val="20"/>
              </w:rPr>
              <w:t>576</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608DB4AB" w14:textId="77777777" w:rsidR="006039F5" w:rsidRDefault="00000000" w:rsidP="00492CD6">
            <w:pPr>
              <w:adjustRightInd w:val="0"/>
              <w:snapToGrid w:val="0"/>
              <w:jc w:val="center"/>
            </w:pPr>
            <w:r>
              <w:rPr>
                <w:rFonts w:cs="Times New Roman"/>
                <w:sz w:val="20"/>
                <w:szCs w:val="20"/>
              </w:rPr>
              <w:t>0.60</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758EA66" w14:textId="77777777" w:rsidR="006039F5" w:rsidRDefault="00000000" w:rsidP="00492CD6">
            <w:pPr>
              <w:adjustRightInd w:val="0"/>
              <w:snapToGrid w:val="0"/>
              <w:jc w:val="center"/>
            </w:pPr>
            <w:r>
              <w:rPr>
                <w:rFonts w:cs="Times New Roman"/>
                <w:sz w:val="20"/>
                <w:szCs w:val="20"/>
              </w:rPr>
              <w:t>0.84</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69252292" w14:textId="77777777" w:rsidR="006039F5" w:rsidRDefault="00000000" w:rsidP="00492CD6">
            <w:pPr>
              <w:adjustRightInd w:val="0"/>
              <w:snapToGrid w:val="0"/>
              <w:jc w:val="center"/>
            </w:pPr>
            <w:r>
              <w:rPr>
                <w:rFonts w:cs="Times New Roman"/>
                <w:sz w:val="20"/>
                <w:szCs w:val="20"/>
              </w:rPr>
              <w:t>100%</w:t>
            </w:r>
          </w:p>
        </w:tc>
      </w:tr>
    </w:tbl>
    <w:p w14:paraId="758FC310" w14:textId="77777777" w:rsidR="006039F5" w:rsidRDefault="00000000" w:rsidP="00492CD6">
      <w:pPr>
        <w:adjustRightInd w:val="0"/>
        <w:snapToGrid w:val="0"/>
        <w:spacing w:before="40" w:after="140"/>
      </w:pPr>
      <w:r>
        <w:rPr>
          <w:rFonts w:cs="Times New Roman"/>
          <w:i/>
          <w:iCs/>
          <w:sz w:val="20"/>
          <w:szCs w:val="20"/>
        </w:rPr>
        <w:t>Note. IOC = Index of Item-Objective Congruence; criterion for satisfactory validity is IOC ≥ 0.50. All items met the criterion.</w:t>
      </w:r>
    </w:p>
    <w:p w14:paraId="273B25CA" w14:textId="5913EC5C" w:rsidR="006039F5" w:rsidRDefault="00000000" w:rsidP="00492CD6">
      <w:pPr>
        <w:adjustRightInd w:val="0"/>
        <w:snapToGrid w:val="0"/>
        <w:spacing w:after="100"/>
        <w:ind w:firstLine="480"/>
        <w:jc w:val="both"/>
      </w:pPr>
      <w:r>
        <w:rPr>
          <w:rFonts w:cs="Times New Roman"/>
          <w:b/>
          <w:bCs/>
        </w:rPr>
        <w:t xml:space="preserve">Objective 2: Shooting skill. </w:t>
      </w:r>
      <w:r>
        <w:rPr>
          <w:rFonts w:cs="Times New Roman"/>
        </w:rPr>
        <w:t>A 2 × 3 mixed ANOVA revealed a significant Group × Time interaction, F(2, 114) = 628.91, p &lt; .001, η²ₚ = .917, with significant main effects of Time and Group (both p &lt; .001); Mauchly's test confirmed sphericity (p = .39). Descriptive statistics are shown in Table 3 and between-group comparisons in Table 4. At pretest the groups were equivalent (MD = 0.45, p &gt; .99, d = 0.09); by midtest the experimental group was significantly ahead (MD = 9.94, p &lt; .001, d = 1.97), and by posttest the advantage had amplified (MD = 22.73, p &lt; .001, d = 4.27). The control group showed no significant improvement in the second half of the program (T2→T3, p = .052), indicating a ceiling effect under conventional instruction. H2 was fully supported.</w:t>
      </w:r>
    </w:p>
    <w:p w14:paraId="23257C4B" w14:textId="77777777" w:rsidR="006039F5" w:rsidRDefault="00000000" w:rsidP="00492CD6">
      <w:pPr>
        <w:adjustRightInd w:val="0"/>
        <w:snapToGrid w:val="0"/>
        <w:spacing w:before="140" w:after="60"/>
      </w:pPr>
      <w:r>
        <w:rPr>
          <w:rFonts w:cs="Times New Roman"/>
          <w:b/>
          <w:bCs/>
          <w:sz w:val="22"/>
          <w:szCs w:val="22"/>
        </w:rPr>
        <w:t>Table 3  Descriptive Statistics for Shooting Skill Composite Scores</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714"/>
        <w:gridCol w:w="2200"/>
        <w:gridCol w:w="2200"/>
        <w:gridCol w:w="2200"/>
      </w:tblGrid>
      <w:tr w:rsidR="006039F5" w14:paraId="30CF3A8E" w14:textId="77777777">
        <w:tblPrEx>
          <w:tblCellMar>
            <w:top w:w="0" w:type="dxa"/>
            <w:bottom w:w="0" w:type="dxa"/>
          </w:tblCellMar>
        </w:tblPrEx>
        <w:trPr>
          <w:tblHeader/>
        </w:trPr>
        <w:tc>
          <w:tcPr>
            <w:tcW w:w="27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01E0EC7" w14:textId="77777777" w:rsidR="006039F5" w:rsidRDefault="00000000" w:rsidP="00492CD6">
            <w:pPr>
              <w:adjustRightInd w:val="0"/>
              <w:snapToGrid w:val="0"/>
            </w:pPr>
            <w:r>
              <w:rPr>
                <w:rFonts w:cs="Times New Roman"/>
                <w:b/>
                <w:bCs/>
                <w:sz w:val="20"/>
                <w:szCs w:val="20"/>
              </w:rPr>
              <w:t>Group</w:t>
            </w:r>
          </w:p>
        </w:tc>
        <w:tc>
          <w:tcPr>
            <w:tcW w:w="22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C29D7B6" w14:textId="77777777" w:rsidR="006039F5" w:rsidRDefault="00000000" w:rsidP="00492CD6">
            <w:pPr>
              <w:adjustRightInd w:val="0"/>
              <w:snapToGrid w:val="0"/>
              <w:jc w:val="center"/>
            </w:pPr>
            <w:r>
              <w:rPr>
                <w:rFonts w:cs="Times New Roman"/>
                <w:b/>
                <w:bCs/>
                <w:sz w:val="20"/>
                <w:szCs w:val="20"/>
              </w:rPr>
              <w:t>T1 M (SD)</w:t>
            </w:r>
          </w:p>
        </w:tc>
        <w:tc>
          <w:tcPr>
            <w:tcW w:w="22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C453ED9" w14:textId="77777777" w:rsidR="006039F5" w:rsidRDefault="00000000" w:rsidP="00492CD6">
            <w:pPr>
              <w:adjustRightInd w:val="0"/>
              <w:snapToGrid w:val="0"/>
              <w:jc w:val="center"/>
            </w:pPr>
            <w:r>
              <w:rPr>
                <w:rFonts w:cs="Times New Roman"/>
                <w:b/>
                <w:bCs/>
                <w:sz w:val="20"/>
                <w:szCs w:val="20"/>
              </w:rPr>
              <w:t>T2 M (SD)</w:t>
            </w:r>
          </w:p>
        </w:tc>
        <w:tc>
          <w:tcPr>
            <w:tcW w:w="22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78913F4" w14:textId="77777777" w:rsidR="006039F5" w:rsidRDefault="00000000" w:rsidP="00492CD6">
            <w:pPr>
              <w:adjustRightInd w:val="0"/>
              <w:snapToGrid w:val="0"/>
              <w:jc w:val="center"/>
            </w:pPr>
            <w:r>
              <w:rPr>
                <w:rFonts w:cs="Times New Roman"/>
                <w:b/>
                <w:bCs/>
                <w:sz w:val="20"/>
                <w:szCs w:val="20"/>
              </w:rPr>
              <w:t>T3 M (SD)</w:t>
            </w:r>
          </w:p>
        </w:tc>
      </w:tr>
      <w:tr w:rsidR="006039F5" w14:paraId="5F7EBE81" w14:textId="77777777">
        <w:tblPrEx>
          <w:tblCellMar>
            <w:top w:w="0" w:type="dxa"/>
            <w:bottom w:w="0" w:type="dxa"/>
          </w:tblCellMar>
        </w:tblPrEx>
        <w:tc>
          <w:tcPr>
            <w:tcW w:w="27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90614EF" w14:textId="77777777" w:rsidR="006039F5" w:rsidRDefault="00000000" w:rsidP="00492CD6">
            <w:pPr>
              <w:adjustRightInd w:val="0"/>
              <w:snapToGrid w:val="0"/>
            </w:pPr>
            <w:r>
              <w:rPr>
                <w:rFonts w:cs="Times New Roman"/>
                <w:sz w:val="20"/>
                <w:szCs w:val="20"/>
              </w:rPr>
              <w:t>EG (n = 29)</w:t>
            </w:r>
          </w:p>
        </w:tc>
        <w:tc>
          <w:tcPr>
            <w:tcW w:w="22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95DC2E8" w14:textId="77777777" w:rsidR="006039F5" w:rsidRDefault="00000000" w:rsidP="00492CD6">
            <w:pPr>
              <w:adjustRightInd w:val="0"/>
              <w:snapToGrid w:val="0"/>
              <w:jc w:val="center"/>
            </w:pPr>
            <w:r>
              <w:rPr>
                <w:rFonts w:cs="Times New Roman"/>
                <w:sz w:val="20"/>
                <w:szCs w:val="20"/>
              </w:rPr>
              <w:t>38.42 (4.71)</w:t>
            </w:r>
          </w:p>
        </w:tc>
        <w:tc>
          <w:tcPr>
            <w:tcW w:w="22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D0B0CF5" w14:textId="77777777" w:rsidR="006039F5" w:rsidRDefault="00000000" w:rsidP="00492CD6">
            <w:pPr>
              <w:adjustRightInd w:val="0"/>
              <w:snapToGrid w:val="0"/>
              <w:jc w:val="center"/>
            </w:pPr>
            <w:r>
              <w:rPr>
                <w:rFonts w:cs="Times New Roman"/>
                <w:sz w:val="20"/>
                <w:szCs w:val="20"/>
              </w:rPr>
              <w:t>54.17 (5.14)</w:t>
            </w:r>
          </w:p>
        </w:tc>
        <w:tc>
          <w:tcPr>
            <w:tcW w:w="22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BFCE233" w14:textId="77777777" w:rsidR="006039F5" w:rsidRDefault="00000000" w:rsidP="00492CD6">
            <w:pPr>
              <w:adjustRightInd w:val="0"/>
              <w:snapToGrid w:val="0"/>
              <w:jc w:val="center"/>
            </w:pPr>
            <w:r>
              <w:rPr>
                <w:rFonts w:cs="Times New Roman"/>
                <w:sz w:val="20"/>
                <w:szCs w:val="20"/>
              </w:rPr>
              <w:t>68.83 (5.52)</w:t>
            </w:r>
          </w:p>
        </w:tc>
      </w:tr>
      <w:tr w:rsidR="006039F5" w14:paraId="1EAB1369" w14:textId="77777777">
        <w:tblPrEx>
          <w:tblCellMar>
            <w:top w:w="0" w:type="dxa"/>
            <w:bottom w:w="0" w:type="dxa"/>
          </w:tblCellMar>
        </w:tblPrEx>
        <w:tc>
          <w:tcPr>
            <w:tcW w:w="27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1C5F3DFF" w14:textId="77777777" w:rsidR="006039F5" w:rsidRDefault="00000000" w:rsidP="00492CD6">
            <w:pPr>
              <w:adjustRightInd w:val="0"/>
              <w:snapToGrid w:val="0"/>
            </w:pPr>
            <w:r>
              <w:rPr>
                <w:rFonts w:cs="Times New Roman"/>
                <w:sz w:val="20"/>
                <w:szCs w:val="20"/>
              </w:rPr>
              <w:t>CG (n = 30)</w:t>
            </w:r>
          </w:p>
        </w:tc>
        <w:tc>
          <w:tcPr>
            <w:tcW w:w="22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0CDA1F08" w14:textId="77777777" w:rsidR="006039F5" w:rsidRDefault="00000000" w:rsidP="00492CD6">
            <w:pPr>
              <w:adjustRightInd w:val="0"/>
              <w:snapToGrid w:val="0"/>
              <w:jc w:val="center"/>
            </w:pPr>
            <w:r>
              <w:rPr>
                <w:rFonts w:cs="Times New Roman"/>
                <w:sz w:val="20"/>
                <w:szCs w:val="20"/>
              </w:rPr>
              <w:t>37.97 (4.83)</w:t>
            </w:r>
          </w:p>
        </w:tc>
        <w:tc>
          <w:tcPr>
            <w:tcW w:w="22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26E51CA5" w14:textId="77777777" w:rsidR="006039F5" w:rsidRDefault="00000000" w:rsidP="00492CD6">
            <w:pPr>
              <w:adjustRightInd w:val="0"/>
              <w:snapToGrid w:val="0"/>
              <w:jc w:val="center"/>
            </w:pPr>
            <w:r>
              <w:rPr>
                <w:rFonts w:cs="Times New Roman"/>
                <w:sz w:val="20"/>
                <w:szCs w:val="20"/>
              </w:rPr>
              <w:t>44.23 (4.97)</w:t>
            </w:r>
          </w:p>
        </w:tc>
        <w:tc>
          <w:tcPr>
            <w:tcW w:w="22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E88BC42" w14:textId="77777777" w:rsidR="006039F5" w:rsidRDefault="00000000" w:rsidP="00492CD6">
            <w:pPr>
              <w:adjustRightInd w:val="0"/>
              <w:snapToGrid w:val="0"/>
              <w:jc w:val="center"/>
            </w:pPr>
            <w:r>
              <w:rPr>
                <w:rFonts w:cs="Times New Roman"/>
                <w:sz w:val="20"/>
                <w:szCs w:val="20"/>
              </w:rPr>
              <w:t>46.10 (5.18)</w:t>
            </w:r>
          </w:p>
        </w:tc>
      </w:tr>
    </w:tbl>
    <w:p w14:paraId="2414580C" w14:textId="77777777" w:rsidR="006039F5" w:rsidRDefault="00000000" w:rsidP="00492CD6">
      <w:pPr>
        <w:adjustRightInd w:val="0"/>
        <w:snapToGrid w:val="0"/>
        <w:spacing w:before="40" w:after="140"/>
      </w:pPr>
      <w:r>
        <w:rPr>
          <w:rFonts w:cs="Times New Roman"/>
          <w:i/>
          <w:iCs/>
          <w:sz w:val="20"/>
          <w:szCs w:val="20"/>
        </w:rPr>
        <w:t>Note. Composite of standardized accuracy (%) and technique rating (20-point), weighted 50/50. T1 = pretest; T2 = midtest; T3 = posttest.</w:t>
      </w:r>
    </w:p>
    <w:p w14:paraId="3B8280FA" w14:textId="2B44BAAF" w:rsidR="006039F5" w:rsidRDefault="00000000" w:rsidP="00492CD6">
      <w:pPr>
        <w:adjustRightInd w:val="0"/>
        <w:snapToGrid w:val="0"/>
        <w:spacing w:before="140" w:after="60"/>
      </w:pPr>
      <w:r>
        <w:rPr>
          <w:rFonts w:cs="Times New Roman"/>
          <w:b/>
          <w:bCs/>
          <w:sz w:val="22"/>
          <w:szCs w:val="22"/>
        </w:rPr>
        <w:t xml:space="preserve">Table 4  Between-Group Pairwise Comparisons </w:t>
      </w:r>
      <w:r w:rsidR="000B0D4D">
        <w:rPr>
          <w:rFonts w:cs="Times New Roman"/>
          <w:b/>
          <w:bCs/>
          <w:sz w:val="22"/>
          <w:szCs w:val="22"/>
        </w:rPr>
        <w:t xml:space="preserve"> </w:t>
      </w:r>
      <w:r>
        <w:rPr>
          <w:rFonts w:cs="Times New Roman"/>
          <w:b/>
          <w:bCs/>
          <w:sz w:val="22"/>
          <w:szCs w:val="22"/>
        </w:rPr>
        <w:t xml:space="preserve"> Shooting Skill</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714"/>
        <w:gridCol w:w="2400"/>
        <w:gridCol w:w="1700"/>
        <w:gridCol w:w="1500"/>
        <w:gridCol w:w="1000"/>
      </w:tblGrid>
      <w:tr w:rsidR="006039F5" w14:paraId="6F002EFC" w14:textId="77777777">
        <w:tblPrEx>
          <w:tblCellMar>
            <w:top w:w="0" w:type="dxa"/>
            <w:bottom w:w="0" w:type="dxa"/>
          </w:tblCellMar>
        </w:tblPrEx>
        <w:trPr>
          <w:tblHeader/>
        </w:trPr>
        <w:tc>
          <w:tcPr>
            <w:tcW w:w="27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89ACEA4" w14:textId="77777777" w:rsidR="006039F5" w:rsidRDefault="00000000" w:rsidP="00492CD6">
            <w:pPr>
              <w:adjustRightInd w:val="0"/>
              <w:snapToGrid w:val="0"/>
            </w:pPr>
            <w:r>
              <w:rPr>
                <w:rFonts w:cs="Times New Roman"/>
                <w:b/>
                <w:bCs/>
                <w:sz w:val="20"/>
                <w:szCs w:val="20"/>
              </w:rPr>
              <w:t>Time point</w:t>
            </w:r>
          </w:p>
        </w:tc>
        <w:tc>
          <w:tcPr>
            <w:tcW w:w="24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5F61890" w14:textId="77777777" w:rsidR="006039F5" w:rsidRDefault="00000000" w:rsidP="00492CD6">
            <w:pPr>
              <w:adjustRightInd w:val="0"/>
              <w:snapToGrid w:val="0"/>
              <w:jc w:val="center"/>
            </w:pPr>
            <w:r>
              <w:rPr>
                <w:rFonts w:cs="Times New Roman"/>
                <w:b/>
                <w:bCs/>
                <w:sz w:val="20"/>
                <w:szCs w:val="20"/>
              </w:rPr>
              <w:t>EG vs. CG MD</w:t>
            </w:r>
          </w:p>
        </w:tc>
        <w:tc>
          <w:tcPr>
            <w:tcW w:w="17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D18FB84" w14:textId="77777777" w:rsidR="006039F5" w:rsidRDefault="00000000" w:rsidP="00492CD6">
            <w:pPr>
              <w:adjustRightInd w:val="0"/>
              <w:snapToGrid w:val="0"/>
              <w:jc w:val="center"/>
            </w:pPr>
            <w:r>
              <w:rPr>
                <w:rFonts w:cs="Times New Roman"/>
                <w:b/>
                <w:bCs/>
                <w:sz w:val="20"/>
                <w:szCs w:val="20"/>
              </w:rPr>
              <w:t>t</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275E16D" w14:textId="77777777" w:rsidR="006039F5" w:rsidRDefault="00000000" w:rsidP="00492CD6">
            <w:pPr>
              <w:adjustRightInd w:val="0"/>
              <w:snapToGrid w:val="0"/>
              <w:jc w:val="center"/>
            </w:pPr>
            <w:r>
              <w:rPr>
                <w:rFonts w:cs="Times New Roman"/>
                <w:b/>
                <w:bCs/>
                <w:sz w:val="20"/>
                <w:szCs w:val="20"/>
              </w:rPr>
              <w:t>p (Bonf.)</w:t>
            </w:r>
          </w:p>
        </w:tc>
        <w:tc>
          <w:tcPr>
            <w:tcW w:w="10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F55F0B6" w14:textId="77777777" w:rsidR="006039F5" w:rsidRDefault="00000000" w:rsidP="00492CD6">
            <w:pPr>
              <w:adjustRightInd w:val="0"/>
              <w:snapToGrid w:val="0"/>
              <w:jc w:val="center"/>
            </w:pPr>
            <w:r>
              <w:rPr>
                <w:rFonts w:cs="Times New Roman"/>
                <w:b/>
                <w:bCs/>
                <w:sz w:val="20"/>
                <w:szCs w:val="20"/>
              </w:rPr>
              <w:t>d</w:t>
            </w:r>
          </w:p>
        </w:tc>
      </w:tr>
      <w:tr w:rsidR="006039F5" w14:paraId="01BCF37E" w14:textId="77777777">
        <w:tblPrEx>
          <w:tblCellMar>
            <w:top w:w="0" w:type="dxa"/>
            <w:bottom w:w="0" w:type="dxa"/>
          </w:tblCellMar>
        </w:tblPrEx>
        <w:tc>
          <w:tcPr>
            <w:tcW w:w="27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5177494" w14:textId="77777777" w:rsidR="006039F5" w:rsidRDefault="00000000" w:rsidP="00492CD6">
            <w:pPr>
              <w:adjustRightInd w:val="0"/>
              <w:snapToGrid w:val="0"/>
            </w:pPr>
            <w:r>
              <w:rPr>
                <w:rFonts w:cs="Times New Roman"/>
                <w:sz w:val="20"/>
                <w:szCs w:val="20"/>
              </w:rPr>
              <w:t>Pretest (T1)</w:t>
            </w:r>
          </w:p>
        </w:tc>
        <w:tc>
          <w:tcPr>
            <w:tcW w:w="24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FE03559" w14:textId="77777777" w:rsidR="006039F5" w:rsidRDefault="00000000" w:rsidP="00492CD6">
            <w:pPr>
              <w:adjustRightInd w:val="0"/>
              <w:snapToGrid w:val="0"/>
              <w:jc w:val="center"/>
            </w:pPr>
            <w:r>
              <w:rPr>
                <w:rFonts w:cs="Times New Roman"/>
                <w:sz w:val="20"/>
                <w:szCs w:val="20"/>
              </w:rPr>
              <w:t>0.45</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76B5A3D" w14:textId="77777777" w:rsidR="006039F5" w:rsidRDefault="00000000" w:rsidP="00492CD6">
            <w:pPr>
              <w:adjustRightInd w:val="0"/>
              <w:snapToGrid w:val="0"/>
              <w:jc w:val="center"/>
            </w:pPr>
            <w:r>
              <w:rPr>
                <w:rFonts w:cs="Times New Roman"/>
                <w:sz w:val="20"/>
                <w:szCs w:val="20"/>
              </w:rPr>
              <w:t>0.37</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C71DE3A" w14:textId="31E0E229" w:rsidR="006039F5" w:rsidRDefault="00000000" w:rsidP="00492CD6">
            <w:pPr>
              <w:adjustRightInd w:val="0"/>
              <w:snapToGrid w:val="0"/>
              <w:jc w:val="center"/>
            </w:pPr>
            <w:r>
              <w:rPr>
                <w:rFonts w:cs="Times New Roman"/>
                <w:sz w:val="20"/>
                <w:szCs w:val="20"/>
              </w:rPr>
              <w:t xml:space="preserve"> .999</w:t>
            </w:r>
          </w:p>
        </w:tc>
        <w:tc>
          <w:tcPr>
            <w:tcW w:w="1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76751E0" w14:textId="77777777" w:rsidR="006039F5" w:rsidRDefault="00000000" w:rsidP="00492CD6">
            <w:pPr>
              <w:adjustRightInd w:val="0"/>
              <w:snapToGrid w:val="0"/>
              <w:jc w:val="center"/>
            </w:pPr>
            <w:r>
              <w:rPr>
                <w:rFonts w:cs="Times New Roman"/>
                <w:sz w:val="20"/>
                <w:szCs w:val="20"/>
              </w:rPr>
              <w:t>0.09</w:t>
            </w:r>
          </w:p>
        </w:tc>
      </w:tr>
      <w:tr w:rsidR="006039F5" w14:paraId="65893C16" w14:textId="77777777">
        <w:tblPrEx>
          <w:tblCellMar>
            <w:top w:w="0" w:type="dxa"/>
            <w:bottom w:w="0" w:type="dxa"/>
          </w:tblCellMar>
        </w:tblPrEx>
        <w:tc>
          <w:tcPr>
            <w:tcW w:w="27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8D5D894" w14:textId="77777777" w:rsidR="006039F5" w:rsidRDefault="00000000" w:rsidP="00492CD6">
            <w:pPr>
              <w:adjustRightInd w:val="0"/>
              <w:snapToGrid w:val="0"/>
            </w:pPr>
            <w:r>
              <w:rPr>
                <w:rFonts w:cs="Times New Roman"/>
                <w:sz w:val="20"/>
                <w:szCs w:val="20"/>
              </w:rPr>
              <w:t>Midtest (T2)</w:t>
            </w:r>
          </w:p>
        </w:tc>
        <w:tc>
          <w:tcPr>
            <w:tcW w:w="24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EE27B43" w14:textId="77777777" w:rsidR="006039F5" w:rsidRDefault="00000000" w:rsidP="00492CD6">
            <w:pPr>
              <w:adjustRightInd w:val="0"/>
              <w:snapToGrid w:val="0"/>
              <w:jc w:val="center"/>
            </w:pPr>
            <w:r>
              <w:rPr>
                <w:rFonts w:cs="Times New Roman"/>
                <w:sz w:val="20"/>
                <w:szCs w:val="20"/>
              </w:rPr>
              <w:t>9.94</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19F8D7C" w14:textId="77777777" w:rsidR="006039F5" w:rsidRDefault="00000000" w:rsidP="00492CD6">
            <w:pPr>
              <w:adjustRightInd w:val="0"/>
              <w:snapToGrid w:val="0"/>
              <w:jc w:val="center"/>
            </w:pPr>
            <w:r>
              <w:rPr>
                <w:rFonts w:cs="Times New Roman"/>
                <w:sz w:val="20"/>
                <w:szCs w:val="20"/>
              </w:rPr>
              <w:t>7.42</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103A736" w14:textId="1097FD66"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432A24D" w14:textId="77777777" w:rsidR="006039F5" w:rsidRDefault="00000000" w:rsidP="00492CD6">
            <w:pPr>
              <w:adjustRightInd w:val="0"/>
              <w:snapToGrid w:val="0"/>
              <w:jc w:val="center"/>
            </w:pPr>
            <w:r>
              <w:rPr>
                <w:rFonts w:cs="Times New Roman"/>
                <w:sz w:val="20"/>
                <w:szCs w:val="20"/>
              </w:rPr>
              <w:t>1.97</w:t>
            </w:r>
          </w:p>
        </w:tc>
      </w:tr>
      <w:tr w:rsidR="006039F5" w14:paraId="66A5CE01" w14:textId="77777777">
        <w:tblPrEx>
          <w:tblCellMar>
            <w:top w:w="0" w:type="dxa"/>
            <w:bottom w:w="0" w:type="dxa"/>
          </w:tblCellMar>
        </w:tblPrEx>
        <w:tc>
          <w:tcPr>
            <w:tcW w:w="27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CD30935" w14:textId="77777777" w:rsidR="006039F5" w:rsidRDefault="00000000" w:rsidP="00492CD6">
            <w:pPr>
              <w:adjustRightInd w:val="0"/>
              <w:snapToGrid w:val="0"/>
            </w:pPr>
            <w:r>
              <w:rPr>
                <w:rFonts w:cs="Times New Roman"/>
                <w:sz w:val="20"/>
                <w:szCs w:val="20"/>
              </w:rPr>
              <w:t>Posttest (T3)</w:t>
            </w:r>
          </w:p>
        </w:tc>
        <w:tc>
          <w:tcPr>
            <w:tcW w:w="24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271521B4" w14:textId="77777777" w:rsidR="006039F5" w:rsidRDefault="00000000" w:rsidP="00492CD6">
            <w:pPr>
              <w:adjustRightInd w:val="0"/>
              <w:snapToGrid w:val="0"/>
              <w:jc w:val="center"/>
            </w:pPr>
            <w:r>
              <w:rPr>
                <w:rFonts w:cs="Times New Roman"/>
                <w:sz w:val="20"/>
                <w:szCs w:val="20"/>
              </w:rPr>
              <w:t>22.73</w:t>
            </w:r>
          </w:p>
        </w:tc>
        <w:tc>
          <w:tcPr>
            <w:tcW w:w="17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0BABBFF" w14:textId="77777777" w:rsidR="006039F5" w:rsidRDefault="00000000" w:rsidP="00492CD6">
            <w:pPr>
              <w:adjustRightInd w:val="0"/>
              <w:snapToGrid w:val="0"/>
              <w:jc w:val="center"/>
            </w:pPr>
            <w:r>
              <w:rPr>
                <w:rFonts w:cs="Times New Roman"/>
                <w:sz w:val="20"/>
                <w:szCs w:val="20"/>
              </w:rPr>
              <w:t>16.12</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6CB1C06" w14:textId="3024D8A5"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0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8FEEBB7" w14:textId="77777777" w:rsidR="006039F5" w:rsidRDefault="00000000" w:rsidP="00492CD6">
            <w:pPr>
              <w:adjustRightInd w:val="0"/>
              <w:snapToGrid w:val="0"/>
              <w:jc w:val="center"/>
            </w:pPr>
            <w:r>
              <w:rPr>
                <w:rFonts w:cs="Times New Roman"/>
                <w:sz w:val="20"/>
                <w:szCs w:val="20"/>
              </w:rPr>
              <w:t>4.27</w:t>
            </w:r>
          </w:p>
        </w:tc>
      </w:tr>
    </w:tbl>
    <w:p w14:paraId="01DCE63E" w14:textId="77777777" w:rsidR="006039F5" w:rsidRDefault="00000000" w:rsidP="00492CD6">
      <w:pPr>
        <w:adjustRightInd w:val="0"/>
        <w:snapToGrid w:val="0"/>
        <w:spacing w:before="40" w:after="140"/>
      </w:pPr>
      <w:r>
        <w:rPr>
          <w:rFonts w:cs="Times New Roman"/>
          <w:i/>
          <w:iCs/>
          <w:sz w:val="20"/>
          <w:szCs w:val="20"/>
        </w:rPr>
        <w:t>Note. MD = mean difference (EG minus CG); d = Cohen's d. Bonferroni-corrected p-values.</w:t>
      </w:r>
      <w:r>
        <w:rPr>
          <w:sz w:val="22"/>
        </w:rPr>
        <w:t xml:space="preserve">  </w:t>
      </w:r>
      <w:r>
        <w:rPr>
          <w:sz w:val="22"/>
          <w:highlight w:val="yellow"/>
        </w:rPr>
        <w:t>*</w:t>
      </w:r>
      <w:r>
        <w:rPr>
          <w:i/>
          <w:sz w:val="22"/>
          <w:highlight w:val="yellow"/>
        </w:rPr>
        <w:t>p</w:t>
      </w:r>
      <w:r>
        <w:rPr>
          <w:sz w:val="22"/>
          <w:highlight w:val="yellow"/>
        </w:rPr>
        <w:t xml:space="preserve"> &lt; .05.</w:t>
      </w:r>
    </w:p>
    <w:p w14:paraId="12797EE4" w14:textId="3E6647D7" w:rsidR="006039F5" w:rsidRDefault="00000000" w:rsidP="00492CD6">
      <w:pPr>
        <w:adjustRightInd w:val="0"/>
        <w:snapToGrid w:val="0"/>
        <w:spacing w:before="140" w:after="60"/>
      </w:pPr>
      <w:r>
        <w:rPr>
          <w:rFonts w:cs="Times New Roman"/>
          <w:b/>
          <w:bCs/>
          <w:sz w:val="22"/>
          <w:szCs w:val="22"/>
        </w:rPr>
        <w:t xml:space="preserve">Table 5  Mixed ANOVA Source Table </w:t>
      </w:r>
      <w:r w:rsidR="000B0D4D">
        <w:rPr>
          <w:rFonts w:cs="Times New Roman"/>
          <w:b/>
          <w:bCs/>
          <w:sz w:val="22"/>
          <w:szCs w:val="22"/>
        </w:rPr>
        <w:t xml:space="preserve"> </w:t>
      </w:r>
      <w:r>
        <w:rPr>
          <w:rFonts w:cs="Times New Roman"/>
          <w:b/>
          <w:bCs/>
          <w:sz w:val="22"/>
          <w:szCs w:val="22"/>
        </w:rPr>
        <w:t xml:space="preserve"> Shooting Skill Composite Scores</w:t>
      </w:r>
    </w:p>
    <w:tbl>
      <w:tblPr>
        <w:tblW w:w="100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914"/>
        <w:gridCol w:w="1700"/>
        <w:gridCol w:w="900"/>
        <w:gridCol w:w="1900"/>
        <w:gridCol w:w="1500"/>
        <w:gridCol w:w="1100"/>
      </w:tblGrid>
      <w:tr w:rsidR="006039F5" w14:paraId="6307B023" w14:textId="77777777">
        <w:tblPrEx>
          <w:tblCellMar>
            <w:top w:w="0" w:type="dxa"/>
            <w:bottom w:w="0" w:type="dxa"/>
          </w:tblCellMar>
        </w:tblPrEx>
        <w:trPr>
          <w:tblHeader/>
        </w:trPr>
        <w:tc>
          <w:tcPr>
            <w:tcW w:w="29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A05A44E" w14:textId="77777777" w:rsidR="006039F5" w:rsidRDefault="00000000" w:rsidP="00492CD6">
            <w:pPr>
              <w:adjustRightInd w:val="0"/>
              <w:snapToGrid w:val="0"/>
            </w:pPr>
            <w:r>
              <w:rPr>
                <w:rFonts w:cs="Times New Roman"/>
                <w:b/>
                <w:bCs/>
                <w:sz w:val="20"/>
                <w:szCs w:val="20"/>
              </w:rPr>
              <w:t>Source</w:t>
            </w:r>
          </w:p>
        </w:tc>
        <w:tc>
          <w:tcPr>
            <w:tcW w:w="17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257D2D03" w14:textId="77777777" w:rsidR="006039F5" w:rsidRDefault="00000000" w:rsidP="00492CD6">
            <w:pPr>
              <w:adjustRightInd w:val="0"/>
              <w:snapToGrid w:val="0"/>
              <w:jc w:val="center"/>
            </w:pPr>
            <w:r>
              <w:rPr>
                <w:rFonts w:cs="Times New Roman"/>
                <w:b/>
                <w:bCs/>
                <w:sz w:val="20"/>
                <w:szCs w:val="20"/>
              </w:rPr>
              <w:t>SS</w:t>
            </w:r>
          </w:p>
        </w:tc>
        <w:tc>
          <w:tcPr>
            <w:tcW w:w="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E349C6A" w14:textId="77777777" w:rsidR="006039F5" w:rsidRDefault="00000000" w:rsidP="00492CD6">
            <w:pPr>
              <w:adjustRightInd w:val="0"/>
              <w:snapToGrid w:val="0"/>
              <w:jc w:val="center"/>
            </w:pPr>
            <w:r>
              <w:rPr>
                <w:rFonts w:cs="Times New Roman"/>
                <w:b/>
                <w:bCs/>
                <w:sz w:val="20"/>
                <w:szCs w:val="20"/>
              </w:rPr>
              <w:t>df</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3615D8E" w14:textId="77777777" w:rsidR="006039F5" w:rsidRDefault="00000000" w:rsidP="00492CD6">
            <w:pPr>
              <w:adjustRightInd w:val="0"/>
              <w:snapToGrid w:val="0"/>
              <w:jc w:val="center"/>
            </w:pPr>
            <w:r>
              <w:rPr>
                <w:rFonts w:cs="Times New Roman"/>
                <w:b/>
                <w:bCs/>
                <w:sz w:val="20"/>
                <w:szCs w:val="20"/>
              </w:rPr>
              <w:t>F</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94F02A0" w14:textId="77777777" w:rsidR="006039F5" w:rsidRDefault="00000000" w:rsidP="00492CD6">
            <w:pPr>
              <w:adjustRightInd w:val="0"/>
              <w:snapToGrid w:val="0"/>
              <w:jc w:val="center"/>
            </w:pPr>
            <w:r>
              <w:rPr>
                <w:rFonts w:cs="Times New Roman"/>
                <w:b/>
                <w:bCs/>
                <w:sz w:val="20"/>
                <w:szCs w:val="20"/>
              </w:rPr>
              <w:t>p</w:t>
            </w:r>
          </w:p>
        </w:tc>
        <w:tc>
          <w:tcPr>
            <w:tcW w:w="11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7249F7F" w14:textId="77777777" w:rsidR="006039F5" w:rsidRDefault="00000000" w:rsidP="00492CD6">
            <w:pPr>
              <w:adjustRightInd w:val="0"/>
              <w:snapToGrid w:val="0"/>
              <w:jc w:val="center"/>
            </w:pPr>
            <w:r>
              <w:rPr>
                <w:rFonts w:cs="Times New Roman"/>
                <w:b/>
                <w:bCs/>
                <w:sz w:val="20"/>
                <w:szCs w:val="20"/>
              </w:rPr>
              <w:t>η²ₚ</w:t>
            </w:r>
          </w:p>
        </w:tc>
      </w:tr>
      <w:tr w:rsidR="006039F5" w14:paraId="0C9C6155"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8FD2939" w14:textId="77777777" w:rsidR="006039F5" w:rsidRDefault="00000000" w:rsidP="00492CD6">
            <w:pPr>
              <w:adjustRightInd w:val="0"/>
              <w:snapToGrid w:val="0"/>
            </w:pPr>
            <w:r>
              <w:rPr>
                <w:rFonts w:cs="Times New Roman"/>
                <w:sz w:val="20"/>
                <w:szCs w:val="20"/>
              </w:rPr>
              <w:t>Group (EG vs. CG)</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32348DF" w14:textId="77777777" w:rsidR="006039F5" w:rsidRDefault="00000000" w:rsidP="00492CD6">
            <w:pPr>
              <w:adjustRightInd w:val="0"/>
              <w:snapToGrid w:val="0"/>
              <w:jc w:val="center"/>
            </w:pPr>
            <w:r>
              <w:rPr>
                <w:rFonts w:cs="Times New Roman"/>
                <w:sz w:val="20"/>
                <w:szCs w:val="20"/>
              </w:rPr>
              <w:t>9847.21</w:t>
            </w:r>
          </w:p>
        </w:tc>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BAF72B2" w14:textId="77777777" w:rsidR="006039F5" w:rsidRDefault="00000000" w:rsidP="00492CD6">
            <w:pPr>
              <w:adjustRightInd w:val="0"/>
              <w:snapToGrid w:val="0"/>
              <w:jc w:val="center"/>
            </w:pPr>
            <w:r>
              <w:rPr>
                <w:rFonts w:cs="Times New Roman"/>
                <w:sz w:val="20"/>
                <w:szCs w:val="20"/>
              </w:rPr>
              <w:t>1</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4CFEEC7" w14:textId="77777777" w:rsidR="006039F5" w:rsidRDefault="00000000" w:rsidP="00492CD6">
            <w:pPr>
              <w:adjustRightInd w:val="0"/>
              <w:snapToGrid w:val="0"/>
              <w:jc w:val="center"/>
            </w:pPr>
            <w:r>
              <w:rPr>
                <w:rFonts w:cs="Times New Roman"/>
                <w:sz w:val="20"/>
                <w:szCs w:val="20"/>
              </w:rPr>
              <w:t>402.18</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8083982" w14:textId="3D6393AB"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1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E931BC0" w14:textId="77777777" w:rsidR="006039F5" w:rsidRDefault="00000000" w:rsidP="00492CD6">
            <w:pPr>
              <w:adjustRightInd w:val="0"/>
              <w:snapToGrid w:val="0"/>
              <w:jc w:val="center"/>
            </w:pPr>
            <w:r>
              <w:rPr>
                <w:rFonts w:cs="Times New Roman"/>
                <w:sz w:val="20"/>
                <w:szCs w:val="20"/>
              </w:rPr>
              <w:t>.877</w:t>
            </w:r>
          </w:p>
        </w:tc>
      </w:tr>
      <w:tr w:rsidR="006039F5" w14:paraId="40DB999B"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64E9F6A" w14:textId="77777777" w:rsidR="006039F5" w:rsidRDefault="00000000" w:rsidP="00492CD6">
            <w:pPr>
              <w:adjustRightInd w:val="0"/>
              <w:snapToGrid w:val="0"/>
            </w:pPr>
            <w:r>
              <w:rPr>
                <w:rFonts w:cs="Times New Roman"/>
                <w:sz w:val="20"/>
                <w:szCs w:val="20"/>
              </w:rPr>
              <w:t>Time (T1/T2/T3)</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146A5C8" w14:textId="77777777" w:rsidR="006039F5" w:rsidRDefault="00000000" w:rsidP="00492CD6">
            <w:pPr>
              <w:adjustRightInd w:val="0"/>
              <w:snapToGrid w:val="0"/>
              <w:jc w:val="center"/>
            </w:pPr>
            <w:r>
              <w:rPr>
                <w:rFonts w:cs="Times New Roman"/>
                <w:sz w:val="20"/>
                <w:szCs w:val="20"/>
              </w:rPr>
              <w:t>28316.84</w:t>
            </w:r>
          </w:p>
        </w:tc>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E52E8A9" w14:textId="77777777" w:rsidR="006039F5" w:rsidRDefault="00000000" w:rsidP="00492CD6">
            <w:pPr>
              <w:adjustRightInd w:val="0"/>
              <w:snapToGrid w:val="0"/>
              <w:jc w:val="center"/>
            </w:pPr>
            <w:r>
              <w:rPr>
                <w:rFonts w:cs="Times New Roman"/>
                <w:sz w:val="20"/>
                <w:szCs w:val="20"/>
              </w:rPr>
              <w:t>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DB470BE" w14:textId="77777777" w:rsidR="006039F5" w:rsidRDefault="00000000" w:rsidP="00492CD6">
            <w:pPr>
              <w:adjustRightInd w:val="0"/>
              <w:snapToGrid w:val="0"/>
              <w:jc w:val="center"/>
            </w:pPr>
            <w:r>
              <w:rPr>
                <w:rFonts w:cs="Times New Roman"/>
                <w:sz w:val="20"/>
                <w:szCs w:val="20"/>
              </w:rPr>
              <w:t>1247.32</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E55D83A" w14:textId="046BFA07"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1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E55138C" w14:textId="77777777" w:rsidR="006039F5" w:rsidRDefault="00000000" w:rsidP="00492CD6">
            <w:pPr>
              <w:adjustRightInd w:val="0"/>
              <w:snapToGrid w:val="0"/>
              <w:jc w:val="center"/>
            </w:pPr>
            <w:r>
              <w:rPr>
                <w:rFonts w:cs="Times New Roman"/>
                <w:sz w:val="20"/>
                <w:szCs w:val="20"/>
              </w:rPr>
              <w:t>.956</w:t>
            </w:r>
          </w:p>
        </w:tc>
      </w:tr>
      <w:tr w:rsidR="006039F5" w14:paraId="183E444B"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3A0AE8B" w14:textId="77777777" w:rsidR="006039F5" w:rsidRDefault="00000000" w:rsidP="00492CD6">
            <w:pPr>
              <w:adjustRightInd w:val="0"/>
              <w:snapToGrid w:val="0"/>
            </w:pPr>
            <w:r>
              <w:rPr>
                <w:rFonts w:cs="Times New Roman"/>
                <w:sz w:val="20"/>
                <w:szCs w:val="20"/>
              </w:rPr>
              <w:t>Group × Time</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654DF2B" w14:textId="77777777" w:rsidR="006039F5" w:rsidRDefault="00000000" w:rsidP="00492CD6">
            <w:pPr>
              <w:adjustRightInd w:val="0"/>
              <w:snapToGrid w:val="0"/>
              <w:jc w:val="center"/>
            </w:pPr>
            <w:r>
              <w:rPr>
                <w:rFonts w:cs="Times New Roman"/>
                <w:sz w:val="20"/>
                <w:szCs w:val="20"/>
              </w:rPr>
              <w:t>14274.52</w:t>
            </w:r>
          </w:p>
        </w:tc>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10231D7" w14:textId="77777777" w:rsidR="006039F5" w:rsidRDefault="00000000" w:rsidP="00492CD6">
            <w:pPr>
              <w:adjustRightInd w:val="0"/>
              <w:snapToGrid w:val="0"/>
              <w:jc w:val="center"/>
            </w:pPr>
            <w:r>
              <w:rPr>
                <w:rFonts w:cs="Times New Roman"/>
                <w:sz w:val="20"/>
                <w:szCs w:val="20"/>
              </w:rPr>
              <w:t>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C3EC7F1" w14:textId="77777777" w:rsidR="006039F5" w:rsidRDefault="00000000" w:rsidP="00492CD6">
            <w:pPr>
              <w:adjustRightInd w:val="0"/>
              <w:snapToGrid w:val="0"/>
              <w:jc w:val="center"/>
            </w:pPr>
            <w:r>
              <w:rPr>
                <w:rFonts w:cs="Times New Roman"/>
                <w:sz w:val="20"/>
                <w:szCs w:val="20"/>
              </w:rPr>
              <w:t>628.91</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F89434B" w14:textId="7B97AA44"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1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FE751E9" w14:textId="77777777" w:rsidR="006039F5" w:rsidRDefault="00000000" w:rsidP="00492CD6">
            <w:pPr>
              <w:adjustRightInd w:val="0"/>
              <w:snapToGrid w:val="0"/>
              <w:jc w:val="center"/>
            </w:pPr>
            <w:r>
              <w:rPr>
                <w:rFonts w:cs="Times New Roman"/>
                <w:sz w:val="20"/>
                <w:szCs w:val="20"/>
              </w:rPr>
              <w:t>.917</w:t>
            </w:r>
          </w:p>
        </w:tc>
      </w:tr>
      <w:tr w:rsidR="006039F5" w14:paraId="3AB0EC26"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7CEB342" w14:textId="77777777" w:rsidR="006039F5" w:rsidRDefault="00000000" w:rsidP="00492CD6">
            <w:pPr>
              <w:adjustRightInd w:val="0"/>
              <w:snapToGrid w:val="0"/>
            </w:pPr>
            <w:r>
              <w:rPr>
                <w:rFonts w:cs="Times New Roman"/>
                <w:sz w:val="20"/>
                <w:szCs w:val="20"/>
              </w:rPr>
              <w:t>Error (between)</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FBFC5CA" w14:textId="77777777" w:rsidR="006039F5" w:rsidRDefault="00000000" w:rsidP="00492CD6">
            <w:pPr>
              <w:adjustRightInd w:val="0"/>
              <w:snapToGrid w:val="0"/>
              <w:jc w:val="center"/>
            </w:pPr>
            <w:r>
              <w:rPr>
                <w:rFonts w:cs="Times New Roman"/>
                <w:sz w:val="20"/>
                <w:szCs w:val="20"/>
              </w:rPr>
              <w:t>1396.44</w:t>
            </w:r>
          </w:p>
        </w:tc>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B13B5EB" w14:textId="77777777" w:rsidR="006039F5" w:rsidRDefault="00000000" w:rsidP="00492CD6">
            <w:pPr>
              <w:adjustRightInd w:val="0"/>
              <w:snapToGrid w:val="0"/>
              <w:jc w:val="center"/>
            </w:pPr>
            <w:r>
              <w:rPr>
                <w:rFonts w:cs="Times New Roman"/>
                <w:sz w:val="20"/>
                <w:szCs w:val="20"/>
              </w:rPr>
              <w:t>57</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E36C28C" w14:textId="77777777" w:rsidR="006039F5" w:rsidRDefault="006039F5" w:rsidP="00492CD6">
            <w:pPr>
              <w:adjustRightInd w:val="0"/>
              <w:snapToGrid w:val="0"/>
              <w:jc w:val="center"/>
            </w:pP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5D26E52" w14:textId="77777777" w:rsidR="006039F5" w:rsidRDefault="006039F5" w:rsidP="00492CD6">
            <w:pPr>
              <w:adjustRightInd w:val="0"/>
              <w:snapToGrid w:val="0"/>
              <w:jc w:val="center"/>
            </w:pPr>
          </w:p>
        </w:tc>
        <w:tc>
          <w:tcPr>
            <w:tcW w:w="11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4DF0433" w14:textId="77777777" w:rsidR="006039F5" w:rsidRDefault="006039F5" w:rsidP="00492CD6">
            <w:pPr>
              <w:adjustRightInd w:val="0"/>
              <w:snapToGrid w:val="0"/>
              <w:jc w:val="center"/>
            </w:pPr>
          </w:p>
        </w:tc>
      </w:tr>
      <w:tr w:rsidR="006039F5" w14:paraId="2F7650B4" w14:textId="77777777">
        <w:tblPrEx>
          <w:tblCellMar>
            <w:top w:w="0" w:type="dxa"/>
            <w:bottom w:w="0" w:type="dxa"/>
          </w:tblCellMar>
        </w:tblPrEx>
        <w:tc>
          <w:tcPr>
            <w:tcW w:w="29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0603C8E" w14:textId="77777777" w:rsidR="006039F5" w:rsidRDefault="00000000" w:rsidP="00492CD6">
            <w:pPr>
              <w:adjustRightInd w:val="0"/>
              <w:snapToGrid w:val="0"/>
            </w:pPr>
            <w:r>
              <w:rPr>
                <w:rFonts w:cs="Times New Roman"/>
                <w:sz w:val="20"/>
                <w:szCs w:val="20"/>
              </w:rPr>
              <w:t>Error (within)</w:t>
            </w:r>
          </w:p>
        </w:tc>
        <w:tc>
          <w:tcPr>
            <w:tcW w:w="17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6FFE9C0" w14:textId="77777777" w:rsidR="006039F5" w:rsidRDefault="00000000" w:rsidP="00492CD6">
            <w:pPr>
              <w:adjustRightInd w:val="0"/>
              <w:snapToGrid w:val="0"/>
              <w:jc w:val="center"/>
            </w:pPr>
            <w:r>
              <w:rPr>
                <w:rFonts w:cs="Times New Roman"/>
                <w:sz w:val="20"/>
                <w:szCs w:val="20"/>
              </w:rPr>
              <w:t>1295.18</w:t>
            </w:r>
          </w:p>
        </w:tc>
        <w:tc>
          <w:tcPr>
            <w:tcW w:w="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2B7669B" w14:textId="77777777" w:rsidR="006039F5" w:rsidRDefault="00000000" w:rsidP="00492CD6">
            <w:pPr>
              <w:adjustRightInd w:val="0"/>
              <w:snapToGrid w:val="0"/>
              <w:jc w:val="center"/>
            </w:pPr>
            <w:r>
              <w:rPr>
                <w:rFonts w:cs="Times New Roman"/>
                <w:sz w:val="20"/>
                <w:szCs w:val="20"/>
              </w:rPr>
              <w:t>114</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60E82BE3" w14:textId="77777777" w:rsidR="006039F5" w:rsidRDefault="006039F5" w:rsidP="00492CD6">
            <w:pPr>
              <w:adjustRightInd w:val="0"/>
              <w:snapToGrid w:val="0"/>
              <w:jc w:val="center"/>
            </w:pP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5E88CAA" w14:textId="77777777" w:rsidR="006039F5" w:rsidRDefault="006039F5" w:rsidP="00492CD6">
            <w:pPr>
              <w:adjustRightInd w:val="0"/>
              <w:snapToGrid w:val="0"/>
              <w:jc w:val="center"/>
            </w:pPr>
          </w:p>
        </w:tc>
        <w:tc>
          <w:tcPr>
            <w:tcW w:w="11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05693080" w14:textId="77777777" w:rsidR="006039F5" w:rsidRDefault="006039F5" w:rsidP="00492CD6">
            <w:pPr>
              <w:adjustRightInd w:val="0"/>
              <w:snapToGrid w:val="0"/>
              <w:jc w:val="center"/>
            </w:pPr>
          </w:p>
        </w:tc>
      </w:tr>
    </w:tbl>
    <w:p w14:paraId="6902D7B0" w14:textId="77777777" w:rsidR="006039F5" w:rsidRDefault="00000000" w:rsidP="00492CD6">
      <w:pPr>
        <w:adjustRightInd w:val="0"/>
        <w:snapToGrid w:val="0"/>
        <w:spacing w:before="40" w:after="140"/>
      </w:pPr>
      <w:r>
        <w:rPr>
          <w:rFonts w:cs="Times New Roman"/>
          <w:i/>
          <w:iCs/>
          <w:sz w:val="20"/>
          <w:szCs w:val="20"/>
        </w:rPr>
        <w:t>Note. SS = sum of squares; df = degrees of freedom; η²ₚ = partial eta-squared. Sphericity met (Mauchly's χ²(2) = 1.84, p = .399); statistical power = 1.000 for all effects.</w:t>
      </w:r>
      <w:r>
        <w:rPr>
          <w:sz w:val="22"/>
        </w:rPr>
        <w:t xml:space="preserve">  </w:t>
      </w:r>
      <w:r>
        <w:rPr>
          <w:sz w:val="22"/>
          <w:highlight w:val="yellow"/>
        </w:rPr>
        <w:t>*</w:t>
      </w:r>
      <w:r>
        <w:rPr>
          <w:i/>
          <w:sz w:val="22"/>
          <w:highlight w:val="yellow"/>
        </w:rPr>
        <w:t>p</w:t>
      </w:r>
      <w:r>
        <w:rPr>
          <w:sz w:val="22"/>
          <w:highlight w:val="yellow"/>
        </w:rPr>
        <w:t xml:space="preserve"> &lt; .05.</w:t>
      </w:r>
    </w:p>
    <w:p w14:paraId="2D197406" w14:textId="77777777" w:rsidR="006039F5" w:rsidRDefault="00000000" w:rsidP="00492CD6">
      <w:pPr>
        <w:adjustRightInd w:val="0"/>
        <w:snapToGrid w:val="0"/>
        <w:spacing w:after="100"/>
        <w:ind w:firstLine="480"/>
        <w:jc w:val="both"/>
      </w:pPr>
      <w:r>
        <w:rPr>
          <w:rFonts w:cs="Times New Roman"/>
          <w:b/>
          <w:bCs/>
        </w:rPr>
        <w:t xml:space="preserve">Objective 3: Personal and social responsibility. </w:t>
      </w:r>
      <w:r>
        <w:rPr>
          <w:rFonts w:cs="Times New Roman"/>
        </w:rPr>
        <w:t xml:space="preserve">A 2 × 3 mixed ANOVA on PSRQ total revealed a significant Group × Time interaction, F(2, 114) = 404.22, p &lt; .001, η²ₚ = .877, and significant interactions for all four subscales (Table 6). Descriptive statistics by group appear in Table 7 and between-group comparisons in Table 8. Groups were equivalent at pretest (MD = 0.29, p &gt; .999, d = 0.07); the experimental group then showed significant advantages at midtest </w:t>
      </w:r>
      <w:r>
        <w:rPr>
          <w:rFonts w:cs="Times New Roman"/>
        </w:rPr>
        <w:lastRenderedPageBreak/>
        <w:t>(MD = 7.92, p &lt; .001, d = 1.95) and posttest (MD = 21.34, p &lt; .001, d = 5.24). Level III (Self-Direction) showed the largest posttest effect (d = 4.91), consistent with the prediction that SVA-driven reflective practice most directly targets self-directedness. H3 was fully supported.</w:t>
      </w:r>
    </w:p>
    <w:p w14:paraId="4484D209" w14:textId="77777777" w:rsidR="006039F5" w:rsidRDefault="00000000" w:rsidP="00492CD6">
      <w:pPr>
        <w:adjustRightInd w:val="0"/>
        <w:snapToGrid w:val="0"/>
        <w:spacing w:before="140" w:after="60"/>
      </w:pPr>
      <w:r>
        <w:rPr>
          <w:rFonts w:cs="Times New Roman"/>
          <w:b/>
          <w:bCs/>
          <w:sz w:val="22"/>
          <w:szCs w:val="22"/>
        </w:rPr>
        <w:t>Table 6  Group × Time Interaction Effects for PSRQ Subscales</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814"/>
        <w:gridCol w:w="2000"/>
        <w:gridCol w:w="1500"/>
        <w:gridCol w:w="2000"/>
      </w:tblGrid>
      <w:tr w:rsidR="006039F5" w14:paraId="445E0016" w14:textId="77777777">
        <w:tblPrEx>
          <w:tblCellMar>
            <w:top w:w="0" w:type="dxa"/>
            <w:bottom w:w="0" w:type="dxa"/>
          </w:tblCellMar>
        </w:tblPrEx>
        <w:trPr>
          <w:tblHeader/>
        </w:trPr>
        <w:tc>
          <w:tcPr>
            <w:tcW w:w="38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367A8487" w14:textId="77777777" w:rsidR="006039F5" w:rsidRDefault="00000000" w:rsidP="00492CD6">
            <w:pPr>
              <w:adjustRightInd w:val="0"/>
              <w:snapToGrid w:val="0"/>
            </w:pPr>
            <w:r>
              <w:rPr>
                <w:rFonts w:cs="Times New Roman"/>
                <w:b/>
                <w:bCs/>
                <w:sz w:val="20"/>
                <w:szCs w:val="20"/>
              </w:rPr>
              <w:t>PSRQ subscale</w:t>
            </w:r>
          </w:p>
        </w:tc>
        <w:tc>
          <w:tcPr>
            <w:tcW w:w="20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53B000B" w14:textId="77777777" w:rsidR="006039F5" w:rsidRDefault="00000000" w:rsidP="00492CD6">
            <w:pPr>
              <w:adjustRightInd w:val="0"/>
              <w:snapToGrid w:val="0"/>
              <w:jc w:val="center"/>
            </w:pPr>
            <w:r>
              <w:rPr>
                <w:rFonts w:cs="Times New Roman"/>
                <w:b/>
                <w:bCs/>
                <w:sz w:val="20"/>
                <w:szCs w:val="20"/>
              </w:rPr>
              <w:t>F(2,114)</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37D6709" w14:textId="77777777" w:rsidR="006039F5" w:rsidRDefault="00000000" w:rsidP="00492CD6">
            <w:pPr>
              <w:adjustRightInd w:val="0"/>
              <w:snapToGrid w:val="0"/>
              <w:jc w:val="center"/>
            </w:pPr>
            <w:r>
              <w:rPr>
                <w:rFonts w:cs="Times New Roman"/>
                <w:b/>
                <w:bCs/>
                <w:sz w:val="20"/>
                <w:szCs w:val="20"/>
              </w:rPr>
              <w:t>η²ₚ</w:t>
            </w:r>
          </w:p>
        </w:tc>
        <w:tc>
          <w:tcPr>
            <w:tcW w:w="20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CE69138" w14:textId="77777777" w:rsidR="006039F5" w:rsidRDefault="00000000" w:rsidP="00492CD6">
            <w:pPr>
              <w:adjustRightInd w:val="0"/>
              <w:snapToGrid w:val="0"/>
              <w:jc w:val="center"/>
            </w:pPr>
            <w:r>
              <w:rPr>
                <w:rFonts w:cs="Times New Roman"/>
                <w:b/>
                <w:bCs/>
                <w:sz w:val="20"/>
                <w:szCs w:val="20"/>
              </w:rPr>
              <w:t>Posttest d</w:t>
            </w:r>
          </w:p>
        </w:tc>
      </w:tr>
      <w:tr w:rsidR="006039F5" w14:paraId="516CFE49" w14:textId="77777777">
        <w:tblPrEx>
          <w:tblCellMar>
            <w:top w:w="0" w:type="dxa"/>
            <w:bottom w:w="0" w:type="dxa"/>
          </w:tblCellMar>
        </w:tblPrEx>
        <w:tc>
          <w:tcPr>
            <w:tcW w:w="38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53637AA" w14:textId="77777777" w:rsidR="006039F5" w:rsidRDefault="00000000" w:rsidP="00492CD6">
            <w:pPr>
              <w:adjustRightInd w:val="0"/>
              <w:snapToGrid w:val="0"/>
            </w:pPr>
            <w:r>
              <w:rPr>
                <w:rFonts w:cs="Times New Roman"/>
                <w:sz w:val="20"/>
                <w:szCs w:val="20"/>
              </w:rPr>
              <w:t>Level I: Respecting Others</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C024F45" w14:textId="77777777" w:rsidR="006039F5" w:rsidRDefault="00000000" w:rsidP="00492CD6">
            <w:pPr>
              <w:adjustRightInd w:val="0"/>
              <w:snapToGrid w:val="0"/>
              <w:jc w:val="center"/>
            </w:pPr>
            <w:r>
              <w:rPr>
                <w:rFonts w:cs="Times New Roman"/>
                <w:sz w:val="20"/>
                <w:szCs w:val="20"/>
              </w:rPr>
              <w:t>187.42</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FA7F417" w14:textId="77777777" w:rsidR="006039F5" w:rsidRDefault="00000000" w:rsidP="00492CD6">
            <w:pPr>
              <w:adjustRightInd w:val="0"/>
              <w:snapToGrid w:val="0"/>
              <w:jc w:val="center"/>
            </w:pPr>
            <w:r>
              <w:rPr>
                <w:rFonts w:cs="Times New Roman"/>
                <w:sz w:val="20"/>
                <w:szCs w:val="20"/>
              </w:rPr>
              <w:t>.767</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94BF118" w14:textId="77777777" w:rsidR="006039F5" w:rsidRDefault="00000000" w:rsidP="00492CD6">
            <w:pPr>
              <w:adjustRightInd w:val="0"/>
              <w:snapToGrid w:val="0"/>
              <w:jc w:val="center"/>
            </w:pPr>
            <w:r>
              <w:rPr>
                <w:rFonts w:cs="Times New Roman"/>
                <w:sz w:val="20"/>
                <w:szCs w:val="20"/>
              </w:rPr>
              <w:t>2.94</w:t>
            </w:r>
          </w:p>
        </w:tc>
      </w:tr>
      <w:tr w:rsidR="006039F5" w14:paraId="7E591EFA" w14:textId="77777777">
        <w:tblPrEx>
          <w:tblCellMar>
            <w:top w:w="0" w:type="dxa"/>
            <w:bottom w:w="0" w:type="dxa"/>
          </w:tblCellMar>
        </w:tblPrEx>
        <w:tc>
          <w:tcPr>
            <w:tcW w:w="38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D6404D1" w14:textId="77777777" w:rsidR="006039F5" w:rsidRDefault="00000000" w:rsidP="00492CD6">
            <w:pPr>
              <w:adjustRightInd w:val="0"/>
              <w:snapToGrid w:val="0"/>
            </w:pPr>
            <w:r>
              <w:rPr>
                <w:rFonts w:cs="Times New Roman"/>
                <w:sz w:val="20"/>
                <w:szCs w:val="20"/>
              </w:rPr>
              <w:t>Level II: Participation &amp; Effort</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119BF02" w14:textId="77777777" w:rsidR="006039F5" w:rsidRDefault="00000000" w:rsidP="00492CD6">
            <w:pPr>
              <w:adjustRightInd w:val="0"/>
              <w:snapToGrid w:val="0"/>
              <w:jc w:val="center"/>
            </w:pPr>
            <w:r>
              <w:rPr>
                <w:rFonts w:cs="Times New Roman"/>
                <w:sz w:val="20"/>
                <w:szCs w:val="20"/>
              </w:rPr>
              <w:t>312.67</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3C19DF2" w14:textId="77777777" w:rsidR="006039F5" w:rsidRDefault="00000000" w:rsidP="00492CD6">
            <w:pPr>
              <w:adjustRightInd w:val="0"/>
              <w:snapToGrid w:val="0"/>
              <w:jc w:val="center"/>
            </w:pPr>
            <w:r>
              <w:rPr>
                <w:rFonts w:cs="Times New Roman"/>
                <w:sz w:val="20"/>
                <w:szCs w:val="20"/>
              </w:rPr>
              <w:t>.846</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5D52E2C" w14:textId="77777777" w:rsidR="006039F5" w:rsidRDefault="00000000" w:rsidP="00492CD6">
            <w:pPr>
              <w:adjustRightInd w:val="0"/>
              <w:snapToGrid w:val="0"/>
              <w:jc w:val="center"/>
            </w:pPr>
            <w:r>
              <w:rPr>
                <w:rFonts w:cs="Times New Roman"/>
                <w:sz w:val="20"/>
                <w:szCs w:val="20"/>
              </w:rPr>
              <w:t>3.67</w:t>
            </w:r>
          </w:p>
        </w:tc>
      </w:tr>
      <w:tr w:rsidR="006039F5" w14:paraId="146BF063" w14:textId="77777777">
        <w:tblPrEx>
          <w:tblCellMar>
            <w:top w:w="0" w:type="dxa"/>
            <w:bottom w:w="0" w:type="dxa"/>
          </w:tblCellMar>
        </w:tblPrEx>
        <w:tc>
          <w:tcPr>
            <w:tcW w:w="38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C066A96" w14:textId="77777777" w:rsidR="006039F5" w:rsidRDefault="00000000" w:rsidP="00492CD6">
            <w:pPr>
              <w:adjustRightInd w:val="0"/>
              <w:snapToGrid w:val="0"/>
            </w:pPr>
            <w:r>
              <w:rPr>
                <w:rFonts w:cs="Times New Roman"/>
                <w:sz w:val="20"/>
                <w:szCs w:val="20"/>
              </w:rPr>
              <w:t>Level III: Self-Direction</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D33C971" w14:textId="77777777" w:rsidR="006039F5" w:rsidRDefault="00000000" w:rsidP="00492CD6">
            <w:pPr>
              <w:adjustRightInd w:val="0"/>
              <w:snapToGrid w:val="0"/>
              <w:jc w:val="center"/>
            </w:pPr>
            <w:r>
              <w:rPr>
                <w:rFonts w:cs="Times New Roman"/>
                <w:sz w:val="20"/>
                <w:szCs w:val="20"/>
              </w:rPr>
              <w:t>487.31</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6C3E2CC" w14:textId="77777777" w:rsidR="006039F5" w:rsidRDefault="00000000" w:rsidP="00492CD6">
            <w:pPr>
              <w:adjustRightInd w:val="0"/>
              <w:snapToGrid w:val="0"/>
              <w:jc w:val="center"/>
            </w:pPr>
            <w:r>
              <w:rPr>
                <w:rFonts w:cs="Times New Roman"/>
                <w:sz w:val="20"/>
                <w:szCs w:val="20"/>
              </w:rPr>
              <w:t>.895</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3E0716B" w14:textId="77777777" w:rsidR="006039F5" w:rsidRDefault="00000000" w:rsidP="00492CD6">
            <w:pPr>
              <w:adjustRightInd w:val="0"/>
              <w:snapToGrid w:val="0"/>
              <w:jc w:val="center"/>
            </w:pPr>
            <w:r>
              <w:rPr>
                <w:rFonts w:cs="Times New Roman"/>
                <w:sz w:val="20"/>
                <w:szCs w:val="20"/>
              </w:rPr>
              <w:t>4.91</w:t>
            </w:r>
          </w:p>
        </w:tc>
      </w:tr>
      <w:tr w:rsidR="006039F5" w14:paraId="389EE2A8" w14:textId="77777777">
        <w:tblPrEx>
          <w:tblCellMar>
            <w:top w:w="0" w:type="dxa"/>
            <w:bottom w:w="0" w:type="dxa"/>
          </w:tblCellMar>
        </w:tblPrEx>
        <w:tc>
          <w:tcPr>
            <w:tcW w:w="38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BF1C9A1" w14:textId="77777777" w:rsidR="006039F5" w:rsidRDefault="00000000" w:rsidP="00492CD6">
            <w:pPr>
              <w:adjustRightInd w:val="0"/>
              <w:snapToGrid w:val="0"/>
            </w:pPr>
            <w:r>
              <w:rPr>
                <w:rFonts w:cs="Times New Roman"/>
                <w:sz w:val="20"/>
                <w:szCs w:val="20"/>
              </w:rPr>
              <w:t>Level IV: Caring &amp; Leadership</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5D0D9CA" w14:textId="77777777" w:rsidR="006039F5" w:rsidRDefault="00000000" w:rsidP="00492CD6">
            <w:pPr>
              <w:adjustRightInd w:val="0"/>
              <w:snapToGrid w:val="0"/>
              <w:jc w:val="center"/>
            </w:pPr>
            <w:r>
              <w:rPr>
                <w:rFonts w:cs="Times New Roman"/>
                <w:sz w:val="20"/>
                <w:szCs w:val="20"/>
              </w:rPr>
              <w:t>274.88</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83FEBFB" w14:textId="77777777" w:rsidR="006039F5" w:rsidRDefault="00000000" w:rsidP="00492CD6">
            <w:pPr>
              <w:adjustRightInd w:val="0"/>
              <w:snapToGrid w:val="0"/>
              <w:jc w:val="center"/>
            </w:pPr>
            <w:r>
              <w:rPr>
                <w:rFonts w:cs="Times New Roman"/>
                <w:sz w:val="20"/>
                <w:szCs w:val="20"/>
              </w:rPr>
              <w:t>.828</w:t>
            </w:r>
          </w:p>
        </w:tc>
        <w:tc>
          <w:tcPr>
            <w:tcW w:w="20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74CCE9B" w14:textId="77777777" w:rsidR="006039F5" w:rsidRDefault="00000000" w:rsidP="00492CD6">
            <w:pPr>
              <w:adjustRightInd w:val="0"/>
              <w:snapToGrid w:val="0"/>
              <w:jc w:val="center"/>
            </w:pPr>
            <w:r>
              <w:rPr>
                <w:rFonts w:cs="Times New Roman"/>
                <w:sz w:val="20"/>
                <w:szCs w:val="20"/>
              </w:rPr>
              <w:t>3.47</w:t>
            </w:r>
          </w:p>
        </w:tc>
      </w:tr>
      <w:tr w:rsidR="006039F5" w14:paraId="00507F8B" w14:textId="77777777">
        <w:tblPrEx>
          <w:tblCellMar>
            <w:top w:w="0" w:type="dxa"/>
            <w:bottom w:w="0" w:type="dxa"/>
          </w:tblCellMar>
        </w:tblPrEx>
        <w:tc>
          <w:tcPr>
            <w:tcW w:w="38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26A1269" w14:textId="77777777" w:rsidR="006039F5" w:rsidRDefault="00000000" w:rsidP="00492CD6">
            <w:pPr>
              <w:adjustRightInd w:val="0"/>
              <w:snapToGrid w:val="0"/>
            </w:pPr>
            <w:r>
              <w:rPr>
                <w:rFonts w:cs="Times New Roman"/>
                <w:sz w:val="20"/>
                <w:szCs w:val="20"/>
              </w:rPr>
              <w:t>PSRQ Total</w:t>
            </w:r>
          </w:p>
        </w:tc>
        <w:tc>
          <w:tcPr>
            <w:tcW w:w="20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A5115A4" w14:textId="77777777" w:rsidR="006039F5" w:rsidRDefault="00000000" w:rsidP="00492CD6">
            <w:pPr>
              <w:adjustRightInd w:val="0"/>
              <w:snapToGrid w:val="0"/>
              <w:jc w:val="center"/>
            </w:pPr>
            <w:r>
              <w:rPr>
                <w:rFonts w:cs="Times New Roman"/>
                <w:sz w:val="20"/>
                <w:szCs w:val="20"/>
              </w:rPr>
              <w:t>404.22</w:t>
            </w:r>
            <w:r>
              <w:rPr>
                <w:sz w:val="20"/>
                <w:highlight w:val="yellow"/>
              </w:rPr>
              <w:t>*</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13B82A12" w14:textId="77777777" w:rsidR="006039F5" w:rsidRDefault="00000000" w:rsidP="00492CD6">
            <w:pPr>
              <w:adjustRightInd w:val="0"/>
              <w:snapToGrid w:val="0"/>
              <w:jc w:val="center"/>
            </w:pPr>
            <w:r>
              <w:rPr>
                <w:rFonts w:cs="Times New Roman"/>
                <w:sz w:val="20"/>
                <w:szCs w:val="20"/>
              </w:rPr>
              <w:t>.877</w:t>
            </w:r>
          </w:p>
        </w:tc>
        <w:tc>
          <w:tcPr>
            <w:tcW w:w="20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1B32A0D3" w14:textId="77777777" w:rsidR="006039F5" w:rsidRDefault="00000000" w:rsidP="00492CD6">
            <w:pPr>
              <w:adjustRightInd w:val="0"/>
              <w:snapToGrid w:val="0"/>
              <w:jc w:val="center"/>
            </w:pPr>
            <w:r>
              <w:rPr>
                <w:rFonts w:cs="Times New Roman"/>
                <w:sz w:val="20"/>
                <w:szCs w:val="20"/>
              </w:rPr>
              <w:t>5.24</w:t>
            </w:r>
          </w:p>
        </w:tc>
      </w:tr>
    </w:tbl>
    <w:p w14:paraId="2B39B683" w14:textId="77777777" w:rsidR="006039F5" w:rsidRDefault="00000000" w:rsidP="00492CD6">
      <w:pPr>
        <w:adjustRightInd w:val="0"/>
        <w:snapToGrid w:val="0"/>
        <w:spacing w:before="40" w:after="140"/>
      </w:pPr>
      <w:r>
        <w:rPr>
          <w:rFonts w:cs="Times New Roman"/>
          <w:i/>
          <w:iCs/>
          <w:sz w:val="20"/>
          <w:szCs w:val="20"/>
        </w:rPr>
        <w:t>Note. All interactions significant at p &lt; .001. d = Bonferroni-corrected between-group Cohen's d at posttest.</w:t>
      </w:r>
      <w:r>
        <w:rPr>
          <w:sz w:val="22"/>
        </w:rPr>
        <w:t xml:space="preserve">  </w:t>
      </w:r>
      <w:r>
        <w:rPr>
          <w:sz w:val="22"/>
          <w:highlight w:val="yellow"/>
        </w:rPr>
        <w:t>*</w:t>
      </w:r>
      <w:r>
        <w:rPr>
          <w:i/>
          <w:sz w:val="22"/>
          <w:highlight w:val="yellow"/>
        </w:rPr>
        <w:t>p</w:t>
      </w:r>
      <w:r>
        <w:rPr>
          <w:sz w:val="22"/>
          <w:highlight w:val="yellow"/>
        </w:rPr>
        <w:t xml:space="preserve"> &lt; .05.</w:t>
      </w:r>
    </w:p>
    <w:p w14:paraId="601B9036" w14:textId="77777777" w:rsidR="006039F5" w:rsidRDefault="00000000" w:rsidP="00492CD6">
      <w:pPr>
        <w:adjustRightInd w:val="0"/>
        <w:snapToGrid w:val="0"/>
        <w:spacing w:before="140" w:after="60"/>
      </w:pPr>
      <w:r>
        <w:rPr>
          <w:rFonts w:cs="Times New Roman"/>
          <w:b/>
          <w:bCs/>
          <w:sz w:val="22"/>
          <w:szCs w:val="22"/>
        </w:rPr>
        <w:t>Table 7  Descriptive Statistics for PSRQ Subscale Scores by Group (M)</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614"/>
        <w:gridCol w:w="1300"/>
        <w:gridCol w:w="1300"/>
        <w:gridCol w:w="1300"/>
        <w:gridCol w:w="1300"/>
        <w:gridCol w:w="500"/>
      </w:tblGrid>
      <w:tr w:rsidR="006039F5" w14:paraId="5494BD8B" w14:textId="77777777">
        <w:tblPrEx>
          <w:tblCellMar>
            <w:top w:w="0" w:type="dxa"/>
            <w:bottom w:w="0" w:type="dxa"/>
          </w:tblCellMar>
        </w:tblPrEx>
        <w:trPr>
          <w:tblHeader/>
        </w:trPr>
        <w:tc>
          <w:tcPr>
            <w:tcW w:w="36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C7860EE" w14:textId="77777777" w:rsidR="006039F5" w:rsidRDefault="00000000" w:rsidP="00492CD6">
            <w:pPr>
              <w:adjustRightInd w:val="0"/>
              <w:snapToGrid w:val="0"/>
            </w:pPr>
            <w:r>
              <w:rPr>
                <w:rFonts w:cs="Times New Roman"/>
                <w:b/>
                <w:bCs/>
                <w:sz w:val="20"/>
                <w:szCs w:val="20"/>
              </w:rPr>
              <w:t>PSRQ scale (range)</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12B40DC" w14:textId="77777777" w:rsidR="006039F5" w:rsidRDefault="00000000" w:rsidP="00492CD6">
            <w:pPr>
              <w:adjustRightInd w:val="0"/>
              <w:snapToGrid w:val="0"/>
              <w:jc w:val="center"/>
            </w:pPr>
            <w:r>
              <w:rPr>
                <w:rFonts w:cs="Times New Roman"/>
                <w:b/>
                <w:bCs/>
                <w:sz w:val="20"/>
                <w:szCs w:val="20"/>
              </w:rPr>
              <w:t>EG T1</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3640CD2" w14:textId="77777777" w:rsidR="006039F5" w:rsidRDefault="00000000" w:rsidP="00492CD6">
            <w:pPr>
              <w:adjustRightInd w:val="0"/>
              <w:snapToGrid w:val="0"/>
              <w:jc w:val="center"/>
            </w:pPr>
            <w:r>
              <w:rPr>
                <w:rFonts w:cs="Times New Roman"/>
                <w:b/>
                <w:bCs/>
                <w:sz w:val="20"/>
                <w:szCs w:val="20"/>
              </w:rPr>
              <w:t>EG T3</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304C800C" w14:textId="77777777" w:rsidR="006039F5" w:rsidRDefault="00000000" w:rsidP="00492CD6">
            <w:pPr>
              <w:adjustRightInd w:val="0"/>
              <w:snapToGrid w:val="0"/>
              <w:jc w:val="center"/>
            </w:pPr>
            <w:r>
              <w:rPr>
                <w:rFonts w:cs="Times New Roman"/>
                <w:b/>
                <w:bCs/>
                <w:sz w:val="20"/>
                <w:szCs w:val="20"/>
              </w:rPr>
              <w:t>CG T1</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1D92933" w14:textId="77777777" w:rsidR="006039F5" w:rsidRDefault="00000000" w:rsidP="00492CD6">
            <w:pPr>
              <w:adjustRightInd w:val="0"/>
              <w:snapToGrid w:val="0"/>
              <w:jc w:val="center"/>
            </w:pPr>
            <w:r>
              <w:rPr>
                <w:rFonts w:cs="Times New Roman"/>
                <w:b/>
                <w:bCs/>
                <w:sz w:val="20"/>
                <w:szCs w:val="20"/>
              </w:rPr>
              <w:t>CG T3</w:t>
            </w:r>
          </w:p>
        </w:tc>
        <w:tc>
          <w:tcPr>
            <w:tcW w:w="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30E3F08" w14:textId="77777777" w:rsidR="006039F5" w:rsidRDefault="006039F5" w:rsidP="00492CD6">
            <w:pPr>
              <w:adjustRightInd w:val="0"/>
              <w:snapToGrid w:val="0"/>
              <w:jc w:val="center"/>
            </w:pPr>
          </w:p>
        </w:tc>
      </w:tr>
      <w:tr w:rsidR="006039F5" w14:paraId="383E0D54" w14:textId="77777777">
        <w:tblPrEx>
          <w:tblCellMar>
            <w:top w:w="0" w:type="dxa"/>
            <w:bottom w:w="0" w:type="dxa"/>
          </w:tblCellMar>
        </w:tblPrEx>
        <w:tc>
          <w:tcPr>
            <w:tcW w:w="36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93871B4" w14:textId="77777777" w:rsidR="006039F5" w:rsidRDefault="00000000" w:rsidP="00492CD6">
            <w:pPr>
              <w:adjustRightInd w:val="0"/>
              <w:snapToGrid w:val="0"/>
            </w:pPr>
            <w:r>
              <w:rPr>
                <w:rFonts w:cs="Times New Roman"/>
                <w:sz w:val="20"/>
                <w:szCs w:val="20"/>
              </w:rPr>
              <w:t>Level I: Respecting Others (3–15)</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56EF463" w14:textId="77777777" w:rsidR="006039F5" w:rsidRDefault="00000000" w:rsidP="00492CD6">
            <w:pPr>
              <w:adjustRightInd w:val="0"/>
              <w:snapToGrid w:val="0"/>
              <w:jc w:val="center"/>
            </w:pPr>
            <w:r>
              <w:rPr>
                <w:rFonts w:cs="Times New Roman"/>
                <w:sz w:val="20"/>
                <w:szCs w:val="20"/>
              </w:rPr>
              <w:t>8.41</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CA24650" w14:textId="77777777" w:rsidR="006039F5" w:rsidRDefault="00000000" w:rsidP="00492CD6">
            <w:pPr>
              <w:adjustRightInd w:val="0"/>
              <w:snapToGrid w:val="0"/>
              <w:jc w:val="center"/>
            </w:pPr>
            <w:r>
              <w:rPr>
                <w:rFonts w:cs="Times New Roman"/>
                <w:sz w:val="20"/>
                <w:szCs w:val="20"/>
              </w:rPr>
              <w:t>12.14</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8706EC9" w14:textId="77777777" w:rsidR="006039F5" w:rsidRDefault="00000000" w:rsidP="00492CD6">
            <w:pPr>
              <w:adjustRightInd w:val="0"/>
              <w:snapToGrid w:val="0"/>
              <w:jc w:val="center"/>
            </w:pPr>
            <w:r>
              <w:rPr>
                <w:rFonts w:cs="Times New Roman"/>
                <w:sz w:val="20"/>
                <w:szCs w:val="20"/>
              </w:rPr>
              <w:t>8.37</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C56FB4D" w14:textId="77777777" w:rsidR="006039F5" w:rsidRDefault="00000000" w:rsidP="00492CD6">
            <w:pPr>
              <w:adjustRightInd w:val="0"/>
              <w:snapToGrid w:val="0"/>
              <w:jc w:val="center"/>
            </w:pPr>
            <w:r>
              <w:rPr>
                <w:rFonts w:cs="Times New Roman"/>
                <w:sz w:val="20"/>
                <w:szCs w:val="20"/>
              </w:rPr>
              <w:t>8.62</w:t>
            </w:r>
          </w:p>
        </w:tc>
        <w:tc>
          <w:tcPr>
            <w:tcW w:w="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FF36A32" w14:textId="77777777" w:rsidR="006039F5" w:rsidRDefault="006039F5" w:rsidP="00492CD6">
            <w:pPr>
              <w:adjustRightInd w:val="0"/>
              <w:snapToGrid w:val="0"/>
              <w:jc w:val="center"/>
            </w:pPr>
          </w:p>
        </w:tc>
      </w:tr>
      <w:tr w:rsidR="006039F5" w14:paraId="0FBB29D1" w14:textId="77777777">
        <w:tblPrEx>
          <w:tblCellMar>
            <w:top w:w="0" w:type="dxa"/>
            <w:bottom w:w="0" w:type="dxa"/>
          </w:tblCellMar>
        </w:tblPrEx>
        <w:tc>
          <w:tcPr>
            <w:tcW w:w="36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F923172" w14:textId="77777777" w:rsidR="006039F5" w:rsidRDefault="00000000" w:rsidP="00492CD6">
            <w:pPr>
              <w:adjustRightInd w:val="0"/>
              <w:snapToGrid w:val="0"/>
            </w:pPr>
            <w:r>
              <w:rPr>
                <w:rFonts w:cs="Times New Roman"/>
                <w:sz w:val="20"/>
                <w:szCs w:val="20"/>
              </w:rPr>
              <w:t>Level II: Participation &amp; Effort (4–20)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67FCBC3" w14:textId="77777777" w:rsidR="006039F5" w:rsidRDefault="00000000" w:rsidP="00492CD6">
            <w:pPr>
              <w:adjustRightInd w:val="0"/>
              <w:snapToGrid w:val="0"/>
              <w:jc w:val="center"/>
            </w:pPr>
            <w:r>
              <w:rPr>
                <w:rFonts w:cs="Times New Roman"/>
                <w:sz w:val="20"/>
                <w:szCs w:val="20"/>
              </w:rPr>
              <w:t>10.17</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FB8E084" w14:textId="77777777" w:rsidR="006039F5" w:rsidRDefault="00000000" w:rsidP="00492CD6">
            <w:pPr>
              <w:adjustRightInd w:val="0"/>
              <w:snapToGrid w:val="0"/>
              <w:jc w:val="center"/>
            </w:pPr>
            <w:r>
              <w:rPr>
                <w:rFonts w:cs="Times New Roman"/>
                <w:sz w:val="20"/>
                <w:szCs w:val="20"/>
              </w:rPr>
              <w:t>15.83</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289F848" w14:textId="77777777" w:rsidR="006039F5" w:rsidRDefault="00000000" w:rsidP="00492CD6">
            <w:pPr>
              <w:adjustRightInd w:val="0"/>
              <w:snapToGrid w:val="0"/>
              <w:jc w:val="center"/>
            </w:pPr>
            <w:r>
              <w:rPr>
                <w:rFonts w:cs="Times New Roman"/>
                <w:sz w:val="20"/>
                <w:szCs w:val="20"/>
              </w:rPr>
              <w:t>10.10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2068AD9" w14:textId="77777777" w:rsidR="006039F5" w:rsidRDefault="00000000" w:rsidP="00492CD6">
            <w:pPr>
              <w:adjustRightInd w:val="0"/>
              <w:snapToGrid w:val="0"/>
              <w:jc w:val="center"/>
            </w:pPr>
            <w:r>
              <w:rPr>
                <w:rFonts w:cs="Times New Roman"/>
                <w:sz w:val="20"/>
                <w:szCs w:val="20"/>
              </w:rPr>
              <w:t>10.43</w:t>
            </w:r>
          </w:p>
        </w:tc>
        <w:tc>
          <w:tcPr>
            <w:tcW w:w="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0094C26" w14:textId="77777777" w:rsidR="006039F5" w:rsidRDefault="006039F5" w:rsidP="00492CD6">
            <w:pPr>
              <w:adjustRightInd w:val="0"/>
              <w:snapToGrid w:val="0"/>
              <w:jc w:val="center"/>
            </w:pPr>
          </w:p>
        </w:tc>
      </w:tr>
      <w:tr w:rsidR="006039F5" w14:paraId="720810DF" w14:textId="77777777">
        <w:tblPrEx>
          <w:tblCellMar>
            <w:top w:w="0" w:type="dxa"/>
            <w:bottom w:w="0" w:type="dxa"/>
          </w:tblCellMar>
        </w:tblPrEx>
        <w:tc>
          <w:tcPr>
            <w:tcW w:w="36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A3FE4DC" w14:textId="77777777" w:rsidR="006039F5" w:rsidRDefault="00000000" w:rsidP="00492CD6">
            <w:pPr>
              <w:adjustRightInd w:val="0"/>
              <w:snapToGrid w:val="0"/>
            </w:pPr>
            <w:r>
              <w:rPr>
                <w:rFonts w:cs="Times New Roman"/>
                <w:sz w:val="20"/>
                <w:szCs w:val="20"/>
              </w:rPr>
              <w:t>Level III: Self-Direction (4–20)</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03B8CAA" w14:textId="77777777" w:rsidR="006039F5" w:rsidRDefault="00000000" w:rsidP="00492CD6">
            <w:pPr>
              <w:adjustRightInd w:val="0"/>
              <w:snapToGrid w:val="0"/>
              <w:jc w:val="center"/>
            </w:pPr>
            <w:r>
              <w:rPr>
                <w:rFonts w:cs="Times New Roman"/>
                <w:sz w:val="20"/>
                <w:szCs w:val="20"/>
              </w:rPr>
              <w:t>10.03</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79006D6" w14:textId="77777777" w:rsidR="006039F5" w:rsidRDefault="00000000" w:rsidP="00492CD6">
            <w:pPr>
              <w:adjustRightInd w:val="0"/>
              <w:snapToGrid w:val="0"/>
              <w:jc w:val="center"/>
            </w:pPr>
            <w:r>
              <w:rPr>
                <w:rFonts w:cs="Times New Roman"/>
                <w:sz w:val="20"/>
                <w:szCs w:val="20"/>
              </w:rPr>
              <w:t>17.86</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B63189B" w14:textId="77777777" w:rsidR="006039F5" w:rsidRDefault="00000000" w:rsidP="00492CD6">
            <w:pPr>
              <w:adjustRightInd w:val="0"/>
              <w:snapToGrid w:val="0"/>
              <w:jc w:val="center"/>
            </w:pPr>
            <w:r>
              <w:rPr>
                <w:rFonts w:cs="Times New Roman"/>
                <w:sz w:val="20"/>
                <w:szCs w:val="20"/>
              </w:rPr>
              <w:t>9.97</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3B3DC7C" w14:textId="77777777" w:rsidR="006039F5" w:rsidRDefault="00000000" w:rsidP="00492CD6">
            <w:pPr>
              <w:adjustRightInd w:val="0"/>
              <w:snapToGrid w:val="0"/>
              <w:jc w:val="center"/>
            </w:pPr>
            <w:r>
              <w:rPr>
                <w:rFonts w:cs="Times New Roman"/>
                <w:sz w:val="20"/>
                <w:szCs w:val="20"/>
              </w:rPr>
              <w:t>10.28</w:t>
            </w:r>
          </w:p>
        </w:tc>
        <w:tc>
          <w:tcPr>
            <w:tcW w:w="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61E4349" w14:textId="77777777" w:rsidR="006039F5" w:rsidRDefault="006039F5" w:rsidP="00492CD6">
            <w:pPr>
              <w:adjustRightInd w:val="0"/>
              <w:snapToGrid w:val="0"/>
              <w:jc w:val="center"/>
            </w:pPr>
          </w:p>
        </w:tc>
      </w:tr>
      <w:tr w:rsidR="006039F5" w14:paraId="1F6DB2DF" w14:textId="77777777">
        <w:tblPrEx>
          <w:tblCellMar>
            <w:top w:w="0" w:type="dxa"/>
            <w:bottom w:w="0" w:type="dxa"/>
          </w:tblCellMar>
        </w:tblPrEx>
        <w:tc>
          <w:tcPr>
            <w:tcW w:w="36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A7C348C" w14:textId="77777777" w:rsidR="006039F5" w:rsidRDefault="00000000" w:rsidP="00492CD6">
            <w:pPr>
              <w:adjustRightInd w:val="0"/>
              <w:snapToGrid w:val="0"/>
            </w:pPr>
            <w:r>
              <w:rPr>
                <w:rFonts w:cs="Times New Roman"/>
                <w:sz w:val="20"/>
                <w:szCs w:val="20"/>
              </w:rPr>
              <w:t>Level IV: Caring &amp; Leadership (3–15)</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9F8AA29" w14:textId="77777777" w:rsidR="006039F5" w:rsidRDefault="00000000" w:rsidP="00492CD6">
            <w:pPr>
              <w:adjustRightInd w:val="0"/>
              <w:snapToGrid w:val="0"/>
              <w:jc w:val="center"/>
            </w:pPr>
            <w:r>
              <w:rPr>
                <w:rFonts w:cs="Times New Roman"/>
                <w:sz w:val="20"/>
                <w:szCs w:val="20"/>
              </w:rPr>
              <w:t>9.11</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3A4D5C9" w14:textId="77777777" w:rsidR="006039F5" w:rsidRDefault="00000000" w:rsidP="00492CD6">
            <w:pPr>
              <w:adjustRightInd w:val="0"/>
              <w:snapToGrid w:val="0"/>
              <w:jc w:val="center"/>
            </w:pPr>
            <w:r>
              <w:rPr>
                <w:rFonts w:cs="Times New Roman"/>
                <w:sz w:val="20"/>
                <w:szCs w:val="20"/>
              </w:rPr>
              <w:t>14.34</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5AA79A1" w14:textId="77777777" w:rsidR="006039F5" w:rsidRDefault="00000000" w:rsidP="00492CD6">
            <w:pPr>
              <w:adjustRightInd w:val="0"/>
              <w:snapToGrid w:val="0"/>
              <w:jc w:val="center"/>
            </w:pPr>
            <w:r>
              <w:rPr>
                <w:rFonts w:cs="Times New Roman"/>
                <w:sz w:val="20"/>
                <w:szCs w:val="20"/>
              </w:rPr>
              <w:t>8.99</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808E7C3" w14:textId="77777777" w:rsidR="006039F5" w:rsidRDefault="00000000" w:rsidP="00492CD6">
            <w:pPr>
              <w:adjustRightInd w:val="0"/>
              <w:snapToGrid w:val="0"/>
              <w:jc w:val="center"/>
            </w:pPr>
            <w:r>
              <w:rPr>
                <w:rFonts w:cs="Times New Roman"/>
                <w:sz w:val="20"/>
                <w:szCs w:val="20"/>
              </w:rPr>
              <w:t>9.50</w:t>
            </w:r>
          </w:p>
        </w:tc>
        <w:tc>
          <w:tcPr>
            <w:tcW w:w="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8AFE840" w14:textId="77777777" w:rsidR="006039F5" w:rsidRDefault="006039F5" w:rsidP="00492CD6">
            <w:pPr>
              <w:adjustRightInd w:val="0"/>
              <w:snapToGrid w:val="0"/>
              <w:jc w:val="center"/>
            </w:pPr>
          </w:p>
        </w:tc>
      </w:tr>
      <w:tr w:rsidR="006039F5" w14:paraId="2E7964AD" w14:textId="77777777">
        <w:tblPrEx>
          <w:tblCellMar>
            <w:top w:w="0" w:type="dxa"/>
            <w:bottom w:w="0" w:type="dxa"/>
          </w:tblCellMar>
        </w:tblPrEx>
        <w:tc>
          <w:tcPr>
            <w:tcW w:w="36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E73E3C3" w14:textId="77777777" w:rsidR="006039F5" w:rsidRDefault="00000000" w:rsidP="00492CD6">
            <w:pPr>
              <w:adjustRightInd w:val="0"/>
              <w:snapToGrid w:val="0"/>
            </w:pPr>
            <w:r>
              <w:rPr>
                <w:rFonts w:cs="Times New Roman"/>
                <w:sz w:val="20"/>
                <w:szCs w:val="20"/>
              </w:rPr>
              <w:t>PSRQ Total (14–70)</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EF58602" w14:textId="77777777" w:rsidR="006039F5" w:rsidRDefault="00000000" w:rsidP="00492CD6">
            <w:pPr>
              <w:adjustRightInd w:val="0"/>
              <w:snapToGrid w:val="0"/>
              <w:jc w:val="center"/>
            </w:pPr>
            <w:r>
              <w:rPr>
                <w:rFonts w:cs="Times New Roman"/>
                <w:sz w:val="20"/>
                <w:szCs w:val="20"/>
              </w:rPr>
              <w:t>37.72</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C22D038" w14:textId="77777777" w:rsidR="006039F5" w:rsidRDefault="00000000" w:rsidP="00492CD6">
            <w:pPr>
              <w:adjustRightInd w:val="0"/>
              <w:snapToGrid w:val="0"/>
              <w:jc w:val="center"/>
            </w:pPr>
            <w:r>
              <w:rPr>
                <w:rFonts w:cs="Times New Roman"/>
                <w:sz w:val="20"/>
                <w:szCs w:val="20"/>
              </w:rPr>
              <w:t>60.17</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1E9AD7DA" w14:textId="77777777" w:rsidR="006039F5" w:rsidRDefault="00000000" w:rsidP="00492CD6">
            <w:pPr>
              <w:adjustRightInd w:val="0"/>
              <w:snapToGrid w:val="0"/>
              <w:jc w:val="center"/>
            </w:pPr>
            <w:r>
              <w:rPr>
                <w:rFonts w:cs="Times New Roman"/>
                <w:sz w:val="20"/>
                <w:szCs w:val="20"/>
              </w:rPr>
              <w:t>37.43</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5578210" w14:textId="77777777" w:rsidR="006039F5" w:rsidRDefault="00000000" w:rsidP="00492CD6">
            <w:pPr>
              <w:adjustRightInd w:val="0"/>
              <w:snapToGrid w:val="0"/>
              <w:jc w:val="center"/>
            </w:pPr>
            <w:r>
              <w:rPr>
                <w:rFonts w:cs="Times New Roman"/>
                <w:sz w:val="20"/>
                <w:szCs w:val="20"/>
              </w:rPr>
              <w:t>38.83</w:t>
            </w:r>
          </w:p>
        </w:tc>
        <w:tc>
          <w:tcPr>
            <w:tcW w:w="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79257EAB" w14:textId="77777777" w:rsidR="006039F5" w:rsidRDefault="006039F5" w:rsidP="00492CD6">
            <w:pPr>
              <w:adjustRightInd w:val="0"/>
              <w:snapToGrid w:val="0"/>
              <w:jc w:val="center"/>
            </w:pPr>
          </w:p>
        </w:tc>
      </w:tr>
    </w:tbl>
    <w:p w14:paraId="021812C0" w14:textId="77777777" w:rsidR="006039F5" w:rsidRDefault="00000000" w:rsidP="00492CD6">
      <w:pPr>
        <w:adjustRightInd w:val="0"/>
        <w:snapToGrid w:val="0"/>
        <w:spacing w:before="40" w:after="140"/>
      </w:pPr>
      <w:r>
        <w:rPr>
          <w:rFonts w:cs="Times New Roman"/>
          <w:i/>
          <w:iCs/>
          <w:sz w:val="20"/>
          <w:szCs w:val="20"/>
        </w:rPr>
        <w:t>Note. EG = experimental group; CG = control group; T1 = pretest; T3 = posttest. Higher scores indicate greater responsibility at the corresponding TPSR level.</w:t>
      </w:r>
    </w:p>
    <w:p w14:paraId="7093F151" w14:textId="23875055" w:rsidR="006039F5" w:rsidRDefault="00000000" w:rsidP="00492CD6">
      <w:pPr>
        <w:adjustRightInd w:val="0"/>
        <w:snapToGrid w:val="0"/>
        <w:spacing w:before="140" w:after="60"/>
      </w:pPr>
      <w:r>
        <w:rPr>
          <w:rFonts w:cs="Times New Roman"/>
          <w:b/>
          <w:bCs/>
          <w:sz w:val="22"/>
          <w:szCs w:val="22"/>
        </w:rPr>
        <w:t xml:space="preserve">Table 8  Between-Group Pairwise Comparisons </w:t>
      </w:r>
      <w:r w:rsidR="000B0D4D">
        <w:rPr>
          <w:rFonts w:cs="Times New Roman"/>
          <w:b/>
          <w:bCs/>
          <w:sz w:val="22"/>
          <w:szCs w:val="22"/>
        </w:rPr>
        <w:t xml:space="preserve"> </w:t>
      </w:r>
      <w:r>
        <w:rPr>
          <w:rFonts w:cs="Times New Roman"/>
          <w:b/>
          <w:bCs/>
          <w:sz w:val="22"/>
          <w:szCs w:val="22"/>
        </w:rPr>
        <w:t xml:space="preserve"> PSRQ Total</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314"/>
        <w:gridCol w:w="1900"/>
        <w:gridCol w:w="1900"/>
        <w:gridCol w:w="1700"/>
        <w:gridCol w:w="1500"/>
      </w:tblGrid>
      <w:tr w:rsidR="006039F5" w14:paraId="5FD7AA7A" w14:textId="77777777">
        <w:tblPrEx>
          <w:tblCellMar>
            <w:top w:w="0" w:type="dxa"/>
            <w:bottom w:w="0" w:type="dxa"/>
          </w:tblCellMar>
        </w:tblPrEx>
        <w:trPr>
          <w:tblHeader/>
        </w:trPr>
        <w:tc>
          <w:tcPr>
            <w:tcW w:w="23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69D98A6" w14:textId="77777777" w:rsidR="006039F5" w:rsidRDefault="00000000" w:rsidP="00492CD6">
            <w:pPr>
              <w:adjustRightInd w:val="0"/>
              <w:snapToGrid w:val="0"/>
            </w:pPr>
            <w:r>
              <w:rPr>
                <w:rFonts w:cs="Times New Roman"/>
                <w:b/>
                <w:bCs/>
                <w:sz w:val="20"/>
                <w:szCs w:val="20"/>
              </w:rPr>
              <w:t>Time point</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6F6228D" w14:textId="77777777" w:rsidR="006039F5" w:rsidRDefault="00000000" w:rsidP="00492CD6">
            <w:pPr>
              <w:adjustRightInd w:val="0"/>
              <w:snapToGrid w:val="0"/>
              <w:jc w:val="center"/>
            </w:pPr>
            <w:r>
              <w:rPr>
                <w:rFonts w:cs="Times New Roman"/>
                <w:b/>
                <w:bCs/>
                <w:sz w:val="20"/>
                <w:szCs w:val="20"/>
              </w:rPr>
              <w:t>EG M (SD)</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B9833A4" w14:textId="77777777" w:rsidR="006039F5" w:rsidRDefault="00000000" w:rsidP="00492CD6">
            <w:pPr>
              <w:adjustRightInd w:val="0"/>
              <w:snapToGrid w:val="0"/>
              <w:jc w:val="center"/>
            </w:pPr>
            <w:r>
              <w:rPr>
                <w:rFonts w:cs="Times New Roman"/>
                <w:b/>
                <w:bCs/>
                <w:sz w:val="20"/>
                <w:szCs w:val="20"/>
              </w:rPr>
              <w:t>CG M (SD)</w:t>
            </w:r>
          </w:p>
        </w:tc>
        <w:tc>
          <w:tcPr>
            <w:tcW w:w="17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902122B" w14:textId="77777777" w:rsidR="006039F5" w:rsidRDefault="00000000" w:rsidP="00492CD6">
            <w:pPr>
              <w:adjustRightInd w:val="0"/>
              <w:snapToGrid w:val="0"/>
              <w:jc w:val="center"/>
            </w:pPr>
            <w:r>
              <w:rPr>
                <w:rFonts w:cs="Times New Roman"/>
                <w:b/>
                <w:bCs/>
                <w:sz w:val="20"/>
                <w:szCs w:val="20"/>
              </w:rPr>
              <w:t>p (Bonf.)</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F7FAB32" w14:textId="77777777" w:rsidR="006039F5" w:rsidRDefault="00000000" w:rsidP="00492CD6">
            <w:pPr>
              <w:adjustRightInd w:val="0"/>
              <w:snapToGrid w:val="0"/>
              <w:jc w:val="center"/>
            </w:pPr>
            <w:r>
              <w:rPr>
                <w:rFonts w:cs="Times New Roman"/>
                <w:b/>
                <w:bCs/>
                <w:sz w:val="20"/>
                <w:szCs w:val="20"/>
              </w:rPr>
              <w:t>d</w:t>
            </w:r>
          </w:p>
        </w:tc>
      </w:tr>
      <w:tr w:rsidR="006039F5" w14:paraId="04C32176" w14:textId="77777777">
        <w:tblPrEx>
          <w:tblCellMar>
            <w:top w:w="0" w:type="dxa"/>
            <w:bottom w:w="0" w:type="dxa"/>
          </w:tblCellMar>
        </w:tblPrEx>
        <w:tc>
          <w:tcPr>
            <w:tcW w:w="23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FB3FA30" w14:textId="77777777" w:rsidR="006039F5" w:rsidRDefault="00000000" w:rsidP="00492CD6">
            <w:pPr>
              <w:adjustRightInd w:val="0"/>
              <w:snapToGrid w:val="0"/>
            </w:pPr>
            <w:r>
              <w:rPr>
                <w:rFonts w:cs="Times New Roman"/>
                <w:sz w:val="20"/>
                <w:szCs w:val="20"/>
              </w:rPr>
              <w:t>Pretest (T1)</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691E48B" w14:textId="77777777" w:rsidR="006039F5" w:rsidRDefault="00000000" w:rsidP="00492CD6">
            <w:pPr>
              <w:adjustRightInd w:val="0"/>
              <w:snapToGrid w:val="0"/>
              <w:jc w:val="center"/>
            </w:pPr>
            <w:r>
              <w:rPr>
                <w:rFonts w:cs="Times New Roman"/>
                <w:sz w:val="20"/>
                <w:szCs w:val="20"/>
              </w:rPr>
              <w:t>37.72 (3.84)</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5F991ED" w14:textId="77777777" w:rsidR="006039F5" w:rsidRDefault="00000000" w:rsidP="00492CD6">
            <w:pPr>
              <w:adjustRightInd w:val="0"/>
              <w:snapToGrid w:val="0"/>
              <w:jc w:val="center"/>
            </w:pPr>
            <w:r>
              <w:rPr>
                <w:rFonts w:cs="Times New Roman"/>
                <w:sz w:val="20"/>
                <w:szCs w:val="20"/>
              </w:rPr>
              <w:t>37.43 (3.97)</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25FD403" w14:textId="19218959" w:rsidR="006039F5" w:rsidRDefault="00000000" w:rsidP="00492CD6">
            <w:pPr>
              <w:adjustRightInd w:val="0"/>
              <w:snapToGrid w:val="0"/>
              <w:jc w:val="center"/>
            </w:pPr>
            <w:r>
              <w:rPr>
                <w:rFonts w:cs="Times New Roman"/>
                <w:sz w:val="20"/>
                <w:szCs w:val="20"/>
              </w:rPr>
              <w:t xml:space="preserve"> .999</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15569A8" w14:textId="77777777" w:rsidR="006039F5" w:rsidRDefault="00000000" w:rsidP="00492CD6">
            <w:pPr>
              <w:adjustRightInd w:val="0"/>
              <w:snapToGrid w:val="0"/>
              <w:jc w:val="center"/>
            </w:pPr>
            <w:r>
              <w:rPr>
                <w:rFonts w:cs="Times New Roman"/>
                <w:sz w:val="20"/>
                <w:szCs w:val="20"/>
              </w:rPr>
              <w:t>0.07</w:t>
            </w:r>
          </w:p>
        </w:tc>
      </w:tr>
      <w:tr w:rsidR="006039F5" w14:paraId="611E2B8D" w14:textId="77777777">
        <w:tblPrEx>
          <w:tblCellMar>
            <w:top w:w="0" w:type="dxa"/>
            <w:bottom w:w="0" w:type="dxa"/>
          </w:tblCellMar>
        </w:tblPrEx>
        <w:tc>
          <w:tcPr>
            <w:tcW w:w="23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CE74DA9" w14:textId="77777777" w:rsidR="006039F5" w:rsidRDefault="00000000" w:rsidP="00492CD6">
            <w:pPr>
              <w:adjustRightInd w:val="0"/>
              <w:snapToGrid w:val="0"/>
            </w:pPr>
            <w:r>
              <w:rPr>
                <w:rFonts w:cs="Times New Roman"/>
                <w:sz w:val="20"/>
                <w:szCs w:val="20"/>
              </w:rPr>
              <w:t>Midtest (T2)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09B2329" w14:textId="77777777" w:rsidR="006039F5" w:rsidRDefault="00000000" w:rsidP="00492CD6">
            <w:pPr>
              <w:adjustRightInd w:val="0"/>
              <w:snapToGrid w:val="0"/>
              <w:jc w:val="center"/>
            </w:pPr>
            <w:r>
              <w:rPr>
                <w:rFonts w:cs="Times New Roman"/>
                <w:sz w:val="20"/>
                <w:szCs w:val="20"/>
              </w:rPr>
              <w:t>46.21 (4.12)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AA0C2C6" w14:textId="77777777" w:rsidR="006039F5" w:rsidRDefault="00000000" w:rsidP="00492CD6">
            <w:pPr>
              <w:adjustRightInd w:val="0"/>
              <w:snapToGrid w:val="0"/>
              <w:jc w:val="center"/>
            </w:pPr>
            <w:r>
              <w:rPr>
                <w:rFonts w:cs="Times New Roman"/>
                <w:sz w:val="20"/>
                <w:szCs w:val="20"/>
              </w:rPr>
              <w:t>38.29 (4.04)</w:t>
            </w:r>
          </w:p>
        </w:tc>
        <w:tc>
          <w:tcPr>
            <w:tcW w:w="17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45CE877" w14:textId="08CC2635" w:rsidR="006039F5" w:rsidRDefault="00000000" w:rsidP="00492CD6">
            <w:pPr>
              <w:adjustRightInd w:val="0"/>
              <w:snapToGrid w:val="0"/>
              <w:jc w:val="center"/>
            </w:pPr>
            <w:r>
              <w:rPr>
                <w:rFonts w:cs="Times New Roman"/>
                <w:sz w:val="20"/>
                <w:szCs w:val="20"/>
              </w:rPr>
              <w:t>.001</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B4F0276" w14:textId="77777777" w:rsidR="006039F5" w:rsidRDefault="00000000" w:rsidP="00492CD6">
            <w:pPr>
              <w:adjustRightInd w:val="0"/>
              <w:snapToGrid w:val="0"/>
              <w:jc w:val="center"/>
            </w:pPr>
            <w:r>
              <w:rPr>
                <w:rFonts w:cs="Times New Roman"/>
                <w:sz w:val="20"/>
                <w:szCs w:val="20"/>
              </w:rPr>
              <w:t>1.95</w:t>
            </w:r>
          </w:p>
        </w:tc>
      </w:tr>
      <w:tr w:rsidR="006039F5" w14:paraId="11F7AC32" w14:textId="77777777">
        <w:tblPrEx>
          <w:tblCellMar>
            <w:top w:w="0" w:type="dxa"/>
            <w:bottom w:w="0" w:type="dxa"/>
          </w:tblCellMar>
        </w:tblPrEx>
        <w:tc>
          <w:tcPr>
            <w:tcW w:w="23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D79B363" w14:textId="77777777" w:rsidR="006039F5" w:rsidRDefault="00000000" w:rsidP="00492CD6">
            <w:pPr>
              <w:adjustRightInd w:val="0"/>
              <w:snapToGrid w:val="0"/>
            </w:pPr>
            <w:r>
              <w:rPr>
                <w:rFonts w:cs="Times New Roman"/>
                <w:sz w:val="20"/>
                <w:szCs w:val="20"/>
              </w:rPr>
              <w:t>Posttest (T3)</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20E3BDC6" w14:textId="77777777" w:rsidR="006039F5" w:rsidRDefault="00000000" w:rsidP="00492CD6">
            <w:pPr>
              <w:adjustRightInd w:val="0"/>
              <w:snapToGrid w:val="0"/>
              <w:jc w:val="center"/>
            </w:pPr>
            <w:r>
              <w:rPr>
                <w:rFonts w:cs="Times New Roman"/>
                <w:sz w:val="20"/>
                <w:szCs w:val="20"/>
              </w:rPr>
              <w:t>60.17 (4.28)</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BF4227B" w14:textId="77777777" w:rsidR="006039F5" w:rsidRDefault="00000000" w:rsidP="00492CD6">
            <w:pPr>
              <w:adjustRightInd w:val="0"/>
              <w:snapToGrid w:val="0"/>
              <w:jc w:val="center"/>
            </w:pPr>
            <w:r>
              <w:rPr>
                <w:rFonts w:cs="Times New Roman"/>
                <w:sz w:val="20"/>
                <w:szCs w:val="20"/>
              </w:rPr>
              <w:t>38.83 (4.02)</w:t>
            </w:r>
          </w:p>
        </w:tc>
        <w:tc>
          <w:tcPr>
            <w:tcW w:w="17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FDBA273" w14:textId="1AE26DB6"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67F3E07B" w14:textId="77777777" w:rsidR="006039F5" w:rsidRDefault="00000000" w:rsidP="00492CD6">
            <w:pPr>
              <w:adjustRightInd w:val="0"/>
              <w:snapToGrid w:val="0"/>
              <w:jc w:val="center"/>
            </w:pPr>
            <w:r>
              <w:rPr>
                <w:rFonts w:cs="Times New Roman"/>
                <w:sz w:val="20"/>
                <w:szCs w:val="20"/>
              </w:rPr>
              <w:t>5.24</w:t>
            </w:r>
          </w:p>
        </w:tc>
      </w:tr>
    </w:tbl>
    <w:p w14:paraId="6595C803" w14:textId="77777777" w:rsidR="006039F5" w:rsidRDefault="00000000" w:rsidP="00492CD6">
      <w:pPr>
        <w:adjustRightInd w:val="0"/>
        <w:snapToGrid w:val="0"/>
        <w:spacing w:before="40" w:after="140"/>
      </w:pPr>
      <w:r>
        <w:rPr>
          <w:rFonts w:cs="Times New Roman"/>
          <w:i/>
          <w:iCs/>
          <w:sz w:val="20"/>
          <w:szCs w:val="20"/>
        </w:rPr>
        <w:t>Note. PSRQ total range 14–70. d = Cohen's d. Bonferroni-corrected p-values.</w:t>
      </w:r>
      <w:r>
        <w:rPr>
          <w:sz w:val="22"/>
        </w:rPr>
        <w:t xml:space="preserve">  </w:t>
      </w:r>
      <w:r>
        <w:rPr>
          <w:sz w:val="22"/>
          <w:highlight w:val="yellow"/>
        </w:rPr>
        <w:t>*</w:t>
      </w:r>
      <w:r>
        <w:rPr>
          <w:i/>
          <w:sz w:val="22"/>
          <w:highlight w:val="yellow"/>
        </w:rPr>
        <w:t>p</w:t>
      </w:r>
      <w:r>
        <w:rPr>
          <w:sz w:val="22"/>
          <w:highlight w:val="yellow"/>
        </w:rPr>
        <w:t xml:space="preserve"> &lt; .05.</w:t>
      </w:r>
    </w:p>
    <w:p w14:paraId="3E2710BA" w14:textId="77777777" w:rsidR="006039F5" w:rsidRDefault="00000000" w:rsidP="00492CD6">
      <w:pPr>
        <w:adjustRightInd w:val="0"/>
        <w:snapToGrid w:val="0"/>
        <w:spacing w:after="100"/>
        <w:ind w:firstLine="480"/>
        <w:jc w:val="both"/>
      </w:pPr>
      <w:r>
        <w:rPr>
          <w:rFonts w:cs="Times New Roman"/>
          <w:b/>
          <w:bCs/>
        </w:rPr>
        <w:t xml:space="preserve">Objective 4: Within-group change in the experimental group. </w:t>
      </w:r>
      <w:r>
        <w:rPr>
          <w:rFonts w:cs="Times New Roman"/>
        </w:rPr>
        <w:t>One-way repeated measures ANOVAs confirmed highly significant time effects for both shooting skill, F(2, 56) = 1844.62, p &lt; .001, η²ₚ = .985, and PSRQ total, F(2, 56) = 1247.38, p &lt; .001, η²ₚ = .979. Bonferroni-corrected comparisons showed significant progressive improvement at every interval for both outcomes (Table 9). Shooting-skill gains were approximately linear across the two halves of the program, whereas responsibility gains accelerated in the second half (T2→T3 d = 3.35 vs. T1→T2 d = 2.15), consistent with cumulative internalization of self-regulatory habits. A supplementary analysis found no moderation by gender (three-way interactions p &gt; .05), and individual fidelity correlated positively with both shooting (r = .41) and PSRQ (r = .38) gains. H4 was fully supported.</w:t>
      </w:r>
    </w:p>
    <w:p w14:paraId="7BB99026" w14:textId="77777777" w:rsidR="006039F5" w:rsidRDefault="00000000" w:rsidP="00492CD6">
      <w:pPr>
        <w:adjustRightInd w:val="0"/>
        <w:snapToGrid w:val="0"/>
        <w:spacing w:before="140" w:after="60"/>
      </w:pPr>
      <w:r>
        <w:rPr>
          <w:rFonts w:cs="Times New Roman"/>
          <w:b/>
          <w:bCs/>
          <w:sz w:val="22"/>
          <w:szCs w:val="22"/>
        </w:rPr>
        <w:t>Table 9  Within-Group Pairwise Comparisons in the Experimental Group (n = 29)</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914"/>
        <w:gridCol w:w="1900"/>
        <w:gridCol w:w="1900"/>
        <w:gridCol w:w="1300"/>
        <w:gridCol w:w="1300"/>
      </w:tblGrid>
      <w:tr w:rsidR="006039F5" w14:paraId="556F5166" w14:textId="77777777">
        <w:tblPrEx>
          <w:tblCellMar>
            <w:top w:w="0" w:type="dxa"/>
            <w:bottom w:w="0" w:type="dxa"/>
          </w:tblCellMar>
        </w:tblPrEx>
        <w:trPr>
          <w:tblHeader/>
        </w:trPr>
        <w:tc>
          <w:tcPr>
            <w:tcW w:w="29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18DC072E" w14:textId="77777777" w:rsidR="006039F5" w:rsidRDefault="00000000" w:rsidP="00492CD6">
            <w:pPr>
              <w:adjustRightInd w:val="0"/>
              <w:snapToGrid w:val="0"/>
            </w:pPr>
            <w:r>
              <w:rPr>
                <w:rFonts w:cs="Times New Roman"/>
                <w:b/>
                <w:bCs/>
                <w:sz w:val="20"/>
                <w:szCs w:val="20"/>
              </w:rPr>
              <w:t>Outcome / contrast</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C0C2F79" w14:textId="77777777" w:rsidR="006039F5" w:rsidRDefault="00000000" w:rsidP="00492CD6">
            <w:pPr>
              <w:adjustRightInd w:val="0"/>
              <w:snapToGrid w:val="0"/>
              <w:jc w:val="center"/>
            </w:pPr>
            <w:r>
              <w:rPr>
                <w:rFonts w:cs="Times New Roman"/>
                <w:b/>
                <w:bCs/>
                <w:sz w:val="20"/>
                <w:szCs w:val="20"/>
              </w:rPr>
              <w:t>Earlier M</w:t>
            </w:r>
          </w:p>
        </w:tc>
        <w:tc>
          <w:tcPr>
            <w:tcW w:w="1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A8624E7" w14:textId="77777777" w:rsidR="006039F5" w:rsidRDefault="00000000" w:rsidP="00492CD6">
            <w:pPr>
              <w:adjustRightInd w:val="0"/>
              <w:snapToGrid w:val="0"/>
              <w:jc w:val="center"/>
            </w:pPr>
            <w:r>
              <w:rPr>
                <w:rFonts w:cs="Times New Roman"/>
                <w:b/>
                <w:bCs/>
                <w:sz w:val="20"/>
                <w:szCs w:val="20"/>
              </w:rPr>
              <w:t>Later M</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574273A1" w14:textId="77777777" w:rsidR="006039F5" w:rsidRDefault="00000000" w:rsidP="00492CD6">
            <w:pPr>
              <w:adjustRightInd w:val="0"/>
              <w:snapToGrid w:val="0"/>
              <w:jc w:val="center"/>
            </w:pPr>
            <w:r>
              <w:rPr>
                <w:rFonts w:cs="Times New Roman"/>
                <w:b/>
                <w:bCs/>
                <w:sz w:val="20"/>
                <w:szCs w:val="20"/>
              </w:rPr>
              <w:t>p (Bonf.)</w:t>
            </w:r>
          </w:p>
        </w:tc>
        <w:tc>
          <w:tcPr>
            <w:tcW w:w="13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2B5ACCCB" w14:textId="77777777" w:rsidR="006039F5" w:rsidRDefault="00000000" w:rsidP="00492CD6">
            <w:pPr>
              <w:adjustRightInd w:val="0"/>
              <w:snapToGrid w:val="0"/>
              <w:jc w:val="center"/>
            </w:pPr>
            <w:r>
              <w:rPr>
                <w:rFonts w:cs="Times New Roman"/>
                <w:b/>
                <w:bCs/>
                <w:sz w:val="20"/>
                <w:szCs w:val="20"/>
              </w:rPr>
              <w:t>d</w:t>
            </w:r>
          </w:p>
        </w:tc>
      </w:tr>
      <w:tr w:rsidR="006039F5" w14:paraId="64694E88"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A92A51A" w14:textId="77777777" w:rsidR="006039F5" w:rsidRDefault="00000000" w:rsidP="00492CD6">
            <w:pPr>
              <w:adjustRightInd w:val="0"/>
              <w:snapToGrid w:val="0"/>
            </w:pPr>
            <w:r>
              <w:rPr>
                <w:rFonts w:cs="Times New Roman"/>
                <w:sz w:val="20"/>
                <w:szCs w:val="20"/>
              </w:rPr>
              <w:t>Shooting: T1→T2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6D49143" w14:textId="77777777" w:rsidR="006039F5" w:rsidRDefault="00000000" w:rsidP="00492CD6">
            <w:pPr>
              <w:adjustRightInd w:val="0"/>
              <w:snapToGrid w:val="0"/>
              <w:jc w:val="center"/>
            </w:pPr>
            <w:r>
              <w:rPr>
                <w:rFonts w:cs="Times New Roman"/>
                <w:sz w:val="20"/>
                <w:szCs w:val="20"/>
              </w:rPr>
              <w:t>38.42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3D5A7BC" w14:textId="77777777" w:rsidR="006039F5" w:rsidRDefault="00000000" w:rsidP="00492CD6">
            <w:pPr>
              <w:adjustRightInd w:val="0"/>
              <w:snapToGrid w:val="0"/>
              <w:jc w:val="center"/>
            </w:pPr>
            <w:r>
              <w:rPr>
                <w:rFonts w:cs="Times New Roman"/>
                <w:sz w:val="20"/>
                <w:szCs w:val="20"/>
              </w:rPr>
              <w:t>54.17</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6909C75" w14:textId="6C5F6002"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4CF0115" w14:textId="77777777" w:rsidR="006039F5" w:rsidRDefault="00000000" w:rsidP="00492CD6">
            <w:pPr>
              <w:adjustRightInd w:val="0"/>
              <w:snapToGrid w:val="0"/>
              <w:jc w:val="center"/>
            </w:pPr>
            <w:r>
              <w:rPr>
                <w:rFonts w:cs="Times New Roman"/>
                <w:sz w:val="20"/>
                <w:szCs w:val="20"/>
              </w:rPr>
              <w:t>3.27</w:t>
            </w:r>
          </w:p>
        </w:tc>
      </w:tr>
      <w:tr w:rsidR="006039F5" w14:paraId="5282F33C"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6F69152" w14:textId="77777777" w:rsidR="006039F5" w:rsidRDefault="00000000" w:rsidP="00492CD6">
            <w:pPr>
              <w:adjustRightInd w:val="0"/>
              <w:snapToGrid w:val="0"/>
            </w:pPr>
            <w:r>
              <w:rPr>
                <w:rFonts w:cs="Times New Roman"/>
                <w:sz w:val="20"/>
                <w:szCs w:val="20"/>
              </w:rPr>
              <w:t>Shooting: T2→T3</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C31CF6E" w14:textId="77777777" w:rsidR="006039F5" w:rsidRDefault="00000000" w:rsidP="00492CD6">
            <w:pPr>
              <w:adjustRightInd w:val="0"/>
              <w:snapToGrid w:val="0"/>
              <w:jc w:val="center"/>
            </w:pPr>
            <w:r>
              <w:rPr>
                <w:rFonts w:cs="Times New Roman"/>
                <w:sz w:val="20"/>
                <w:szCs w:val="20"/>
              </w:rPr>
              <w:t>54.17</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DEF843C" w14:textId="77777777" w:rsidR="006039F5" w:rsidRDefault="00000000" w:rsidP="00492CD6">
            <w:pPr>
              <w:adjustRightInd w:val="0"/>
              <w:snapToGrid w:val="0"/>
              <w:jc w:val="center"/>
            </w:pPr>
            <w:r>
              <w:rPr>
                <w:rFonts w:cs="Times New Roman"/>
                <w:sz w:val="20"/>
                <w:szCs w:val="20"/>
              </w:rPr>
              <w:t>68.83</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8B09A09" w14:textId="06C7F264" w:rsidR="006039F5" w:rsidRDefault="00000000" w:rsidP="00492CD6">
            <w:pPr>
              <w:adjustRightInd w:val="0"/>
              <w:snapToGrid w:val="0"/>
              <w:jc w:val="center"/>
            </w:pPr>
            <w:r>
              <w:rPr>
                <w:rFonts w:cs="Times New Roman"/>
                <w:sz w:val="20"/>
                <w:szCs w:val="20"/>
              </w:rPr>
              <w:t>.001</w:t>
            </w:r>
            <w:r>
              <w:rPr>
                <w:sz w:val="20"/>
                <w:highlight w:val="yellow"/>
              </w:rPr>
              <w: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A121380" w14:textId="77777777" w:rsidR="006039F5" w:rsidRDefault="00000000" w:rsidP="00492CD6">
            <w:pPr>
              <w:adjustRightInd w:val="0"/>
              <w:snapToGrid w:val="0"/>
              <w:jc w:val="center"/>
            </w:pPr>
            <w:r>
              <w:rPr>
                <w:rFonts w:cs="Times New Roman"/>
                <w:sz w:val="20"/>
                <w:szCs w:val="20"/>
              </w:rPr>
              <w:t>2.76</w:t>
            </w:r>
          </w:p>
        </w:tc>
      </w:tr>
      <w:tr w:rsidR="006039F5" w14:paraId="497D1FC6"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4BA278E" w14:textId="77777777" w:rsidR="006039F5" w:rsidRDefault="00000000" w:rsidP="00492CD6">
            <w:pPr>
              <w:adjustRightInd w:val="0"/>
              <w:snapToGrid w:val="0"/>
            </w:pPr>
            <w:r>
              <w:rPr>
                <w:rFonts w:cs="Times New Roman"/>
                <w:sz w:val="20"/>
                <w:szCs w:val="20"/>
              </w:rPr>
              <w:t>Shooting: T1→T3</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48C357E" w14:textId="77777777" w:rsidR="006039F5" w:rsidRDefault="00000000" w:rsidP="00492CD6">
            <w:pPr>
              <w:adjustRightInd w:val="0"/>
              <w:snapToGrid w:val="0"/>
              <w:jc w:val="center"/>
            </w:pPr>
            <w:r>
              <w:rPr>
                <w:rFonts w:cs="Times New Roman"/>
                <w:sz w:val="20"/>
                <w:szCs w:val="20"/>
              </w:rPr>
              <w:t>38.42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1ED2AD8" w14:textId="77777777" w:rsidR="006039F5" w:rsidRDefault="00000000" w:rsidP="00492CD6">
            <w:pPr>
              <w:adjustRightInd w:val="0"/>
              <w:snapToGrid w:val="0"/>
              <w:jc w:val="center"/>
            </w:pPr>
            <w:r>
              <w:rPr>
                <w:rFonts w:cs="Times New Roman"/>
                <w:sz w:val="20"/>
                <w:szCs w:val="20"/>
              </w:rPr>
              <w:t>68.83</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29174EA" w14:textId="3FAA91F0"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13F03AE" w14:textId="77777777" w:rsidR="006039F5" w:rsidRDefault="00000000" w:rsidP="00492CD6">
            <w:pPr>
              <w:adjustRightInd w:val="0"/>
              <w:snapToGrid w:val="0"/>
              <w:jc w:val="center"/>
            </w:pPr>
            <w:r>
              <w:rPr>
                <w:rFonts w:cs="Times New Roman"/>
                <w:sz w:val="20"/>
                <w:szCs w:val="20"/>
              </w:rPr>
              <w:t>6.03</w:t>
            </w:r>
          </w:p>
        </w:tc>
      </w:tr>
      <w:tr w:rsidR="006039F5" w14:paraId="4711B6AA"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038C88B" w14:textId="77777777" w:rsidR="006039F5" w:rsidRDefault="00000000" w:rsidP="00492CD6">
            <w:pPr>
              <w:adjustRightInd w:val="0"/>
              <w:snapToGrid w:val="0"/>
            </w:pPr>
            <w:r>
              <w:rPr>
                <w:rFonts w:cs="Times New Roman"/>
                <w:sz w:val="20"/>
                <w:szCs w:val="20"/>
              </w:rPr>
              <w:t>PSRQ: T1→T2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D725F9F" w14:textId="77777777" w:rsidR="006039F5" w:rsidRDefault="00000000" w:rsidP="00492CD6">
            <w:pPr>
              <w:adjustRightInd w:val="0"/>
              <w:snapToGrid w:val="0"/>
              <w:jc w:val="center"/>
            </w:pPr>
            <w:r>
              <w:rPr>
                <w:rFonts w:cs="Times New Roman"/>
                <w:sz w:val="20"/>
                <w:szCs w:val="20"/>
              </w:rPr>
              <w:t>37.72</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7CB62E1" w14:textId="77777777" w:rsidR="006039F5" w:rsidRDefault="00000000" w:rsidP="00492CD6">
            <w:pPr>
              <w:adjustRightInd w:val="0"/>
              <w:snapToGrid w:val="0"/>
              <w:jc w:val="center"/>
            </w:pPr>
            <w:r>
              <w:rPr>
                <w:rFonts w:cs="Times New Roman"/>
                <w:sz w:val="20"/>
                <w:szCs w:val="20"/>
              </w:rPr>
              <w:t>46.21</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09D1ED7" w14:textId="5224F718" w:rsidR="006039F5" w:rsidRDefault="00000000" w:rsidP="00492CD6">
            <w:pPr>
              <w:adjustRightInd w:val="0"/>
              <w:snapToGrid w:val="0"/>
              <w:jc w:val="center"/>
            </w:pPr>
            <w:r>
              <w:rPr>
                <w:rFonts w:cs="Times New Roman"/>
                <w:sz w:val="20"/>
                <w:szCs w:val="20"/>
              </w:rPr>
              <w:t>.001</w:t>
            </w:r>
            <w:r>
              <w:rPr>
                <w:sz w:val="20"/>
                <w:highlight w:val="yellow"/>
              </w:rPr>
              <w: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6B4F46C" w14:textId="77777777" w:rsidR="006039F5" w:rsidRDefault="00000000" w:rsidP="00492CD6">
            <w:pPr>
              <w:adjustRightInd w:val="0"/>
              <w:snapToGrid w:val="0"/>
              <w:jc w:val="center"/>
            </w:pPr>
            <w:r>
              <w:rPr>
                <w:rFonts w:cs="Times New Roman"/>
                <w:sz w:val="20"/>
                <w:szCs w:val="20"/>
              </w:rPr>
              <w:t>2.15</w:t>
            </w:r>
          </w:p>
        </w:tc>
      </w:tr>
      <w:tr w:rsidR="006039F5" w14:paraId="126B72E0" w14:textId="77777777">
        <w:tblPrEx>
          <w:tblCellMar>
            <w:top w:w="0" w:type="dxa"/>
            <w:bottom w:w="0" w:type="dxa"/>
          </w:tblCellMar>
        </w:tblPrEx>
        <w:tc>
          <w:tcPr>
            <w:tcW w:w="29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D997306" w14:textId="77777777" w:rsidR="006039F5" w:rsidRDefault="00000000" w:rsidP="00492CD6">
            <w:pPr>
              <w:adjustRightInd w:val="0"/>
              <w:snapToGrid w:val="0"/>
            </w:pPr>
            <w:r>
              <w:rPr>
                <w:rFonts w:cs="Times New Roman"/>
                <w:sz w:val="20"/>
                <w:szCs w:val="20"/>
              </w:rPr>
              <w:lastRenderedPageBreak/>
              <w:t>PSRQ: T2→T3</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2DE69CC" w14:textId="77777777" w:rsidR="006039F5" w:rsidRDefault="00000000" w:rsidP="00492CD6">
            <w:pPr>
              <w:adjustRightInd w:val="0"/>
              <w:snapToGrid w:val="0"/>
              <w:jc w:val="center"/>
            </w:pPr>
            <w:r>
              <w:rPr>
                <w:rFonts w:cs="Times New Roman"/>
                <w:sz w:val="20"/>
                <w:szCs w:val="20"/>
              </w:rPr>
              <w:t>46.21</w:t>
            </w:r>
          </w:p>
        </w:tc>
        <w:tc>
          <w:tcPr>
            <w:tcW w:w="1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98D8EED" w14:textId="77777777" w:rsidR="006039F5" w:rsidRDefault="00000000" w:rsidP="00492CD6">
            <w:pPr>
              <w:adjustRightInd w:val="0"/>
              <w:snapToGrid w:val="0"/>
              <w:jc w:val="center"/>
            </w:pPr>
            <w:r>
              <w:rPr>
                <w:rFonts w:cs="Times New Roman"/>
                <w:sz w:val="20"/>
                <w:szCs w:val="20"/>
              </w:rPr>
              <w:t>60.17</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06B0EF72" w14:textId="6F284755"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3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CDE979E" w14:textId="77777777" w:rsidR="006039F5" w:rsidRDefault="00000000" w:rsidP="00492CD6">
            <w:pPr>
              <w:adjustRightInd w:val="0"/>
              <w:snapToGrid w:val="0"/>
              <w:jc w:val="center"/>
            </w:pPr>
            <w:r>
              <w:rPr>
                <w:rFonts w:cs="Times New Roman"/>
                <w:sz w:val="20"/>
                <w:szCs w:val="20"/>
              </w:rPr>
              <w:t>3.35</w:t>
            </w:r>
          </w:p>
        </w:tc>
      </w:tr>
      <w:tr w:rsidR="006039F5" w14:paraId="19D0D27F" w14:textId="77777777">
        <w:tblPrEx>
          <w:tblCellMar>
            <w:top w:w="0" w:type="dxa"/>
            <w:bottom w:w="0" w:type="dxa"/>
          </w:tblCellMar>
        </w:tblPrEx>
        <w:tc>
          <w:tcPr>
            <w:tcW w:w="29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F22B31F" w14:textId="77777777" w:rsidR="006039F5" w:rsidRDefault="00000000" w:rsidP="00492CD6">
            <w:pPr>
              <w:adjustRightInd w:val="0"/>
              <w:snapToGrid w:val="0"/>
            </w:pPr>
            <w:r>
              <w:rPr>
                <w:rFonts w:cs="Times New Roman"/>
                <w:sz w:val="20"/>
                <w:szCs w:val="20"/>
              </w:rPr>
              <w:t>PSRQ: T1→T3</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13E8B7F" w14:textId="77777777" w:rsidR="006039F5" w:rsidRDefault="00000000" w:rsidP="00492CD6">
            <w:pPr>
              <w:adjustRightInd w:val="0"/>
              <w:snapToGrid w:val="0"/>
              <w:jc w:val="center"/>
            </w:pPr>
            <w:r>
              <w:rPr>
                <w:rFonts w:cs="Times New Roman"/>
                <w:sz w:val="20"/>
                <w:szCs w:val="20"/>
              </w:rPr>
              <w:t>37.72</w:t>
            </w:r>
          </w:p>
        </w:tc>
        <w:tc>
          <w:tcPr>
            <w:tcW w:w="1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477A5BCE" w14:textId="77777777" w:rsidR="006039F5" w:rsidRDefault="00000000" w:rsidP="00492CD6">
            <w:pPr>
              <w:adjustRightInd w:val="0"/>
              <w:snapToGrid w:val="0"/>
              <w:jc w:val="center"/>
            </w:pPr>
            <w:r>
              <w:rPr>
                <w:rFonts w:cs="Times New Roman"/>
                <w:sz w:val="20"/>
                <w:szCs w:val="20"/>
              </w:rPr>
              <w:t>60.17</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3C20D16B" w14:textId="3D522F8A" w:rsidR="006039F5" w:rsidRDefault="00000000" w:rsidP="00492CD6">
            <w:pPr>
              <w:adjustRightInd w:val="0"/>
              <w:snapToGrid w:val="0"/>
              <w:jc w:val="center"/>
            </w:pPr>
            <w:r>
              <w:rPr>
                <w:rFonts w:cs="Times New Roman"/>
                <w:sz w:val="20"/>
                <w:szCs w:val="20"/>
              </w:rPr>
              <w:t>.001</w:t>
            </w:r>
            <w:r>
              <w:rPr>
                <w:sz w:val="20"/>
                <w:highlight w:val="yellow"/>
              </w:rPr>
              <w:t>*</w:t>
            </w:r>
          </w:p>
        </w:tc>
        <w:tc>
          <w:tcPr>
            <w:tcW w:w="13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20EB8B5" w14:textId="77777777" w:rsidR="006039F5" w:rsidRDefault="00000000" w:rsidP="00492CD6">
            <w:pPr>
              <w:adjustRightInd w:val="0"/>
              <w:snapToGrid w:val="0"/>
              <w:jc w:val="center"/>
            </w:pPr>
            <w:r>
              <w:rPr>
                <w:rFonts w:cs="Times New Roman"/>
                <w:sz w:val="20"/>
                <w:szCs w:val="20"/>
              </w:rPr>
              <w:t>5.63</w:t>
            </w:r>
          </w:p>
        </w:tc>
      </w:tr>
    </w:tbl>
    <w:p w14:paraId="7B280456" w14:textId="77777777" w:rsidR="006039F5" w:rsidRDefault="00000000" w:rsidP="00492CD6">
      <w:pPr>
        <w:adjustRightInd w:val="0"/>
        <w:snapToGrid w:val="0"/>
        <w:spacing w:before="40" w:after="140"/>
      </w:pPr>
      <w:r>
        <w:rPr>
          <w:rFonts w:cs="Times New Roman"/>
          <w:i/>
          <w:iCs/>
          <w:sz w:val="20"/>
          <w:szCs w:val="20"/>
        </w:rPr>
        <w:t>Note. d = Cohen's d. Adjusted α = .0167 across three contrasts per outcome.</w:t>
      </w:r>
      <w:r>
        <w:rPr>
          <w:sz w:val="22"/>
        </w:rPr>
        <w:t xml:space="preserve">  </w:t>
      </w:r>
      <w:r>
        <w:rPr>
          <w:sz w:val="22"/>
          <w:highlight w:val="yellow"/>
        </w:rPr>
        <w:t>*</w:t>
      </w:r>
      <w:r>
        <w:rPr>
          <w:i/>
          <w:sz w:val="22"/>
          <w:highlight w:val="yellow"/>
        </w:rPr>
        <w:t>p</w:t>
      </w:r>
      <w:r>
        <w:rPr>
          <w:sz w:val="22"/>
          <w:highlight w:val="yellow"/>
        </w:rPr>
        <w:t xml:space="preserve"> &lt; .05.</w:t>
      </w:r>
    </w:p>
    <w:p w14:paraId="493B4BE8" w14:textId="77777777" w:rsidR="006039F5" w:rsidRDefault="00000000" w:rsidP="00492CD6">
      <w:pPr>
        <w:adjustRightInd w:val="0"/>
        <w:snapToGrid w:val="0"/>
        <w:spacing w:before="140" w:after="60"/>
      </w:pPr>
      <w:r>
        <w:rPr>
          <w:rFonts w:cs="Times New Roman"/>
          <w:b/>
          <w:bCs/>
          <w:sz w:val="22"/>
          <w:szCs w:val="22"/>
        </w:rPr>
        <w:t>Table 10  Summary of Hypothesis Testing Outcomes</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0"/>
        <w:gridCol w:w="5414"/>
        <w:gridCol w:w="1500"/>
        <w:gridCol w:w="1500"/>
      </w:tblGrid>
      <w:tr w:rsidR="006039F5" w14:paraId="1B8EB1B2" w14:textId="77777777">
        <w:tblPrEx>
          <w:tblCellMar>
            <w:top w:w="0" w:type="dxa"/>
            <w:bottom w:w="0" w:type="dxa"/>
          </w:tblCellMar>
        </w:tblPrEx>
        <w:trPr>
          <w:tblHeader/>
        </w:trPr>
        <w:tc>
          <w:tcPr>
            <w:tcW w:w="9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02DBD615" w14:textId="77777777" w:rsidR="006039F5" w:rsidRDefault="00000000" w:rsidP="00492CD6">
            <w:pPr>
              <w:adjustRightInd w:val="0"/>
              <w:snapToGrid w:val="0"/>
            </w:pPr>
            <w:r>
              <w:rPr>
                <w:rFonts w:cs="Times New Roman"/>
                <w:b/>
                <w:bCs/>
                <w:sz w:val="20"/>
                <w:szCs w:val="20"/>
              </w:rPr>
              <w:t>H</w:t>
            </w:r>
          </w:p>
        </w:tc>
        <w:tc>
          <w:tcPr>
            <w:tcW w:w="5414"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46B08C17" w14:textId="77777777" w:rsidR="006039F5" w:rsidRDefault="00000000" w:rsidP="00492CD6">
            <w:pPr>
              <w:adjustRightInd w:val="0"/>
              <w:snapToGrid w:val="0"/>
              <w:jc w:val="center"/>
            </w:pPr>
            <w:r>
              <w:rPr>
                <w:rFonts w:cs="Times New Roman"/>
                <w:b/>
                <w:bCs/>
                <w:sz w:val="20"/>
                <w:szCs w:val="20"/>
              </w:rPr>
              <w:t>Key statistic</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7DFB2B7D" w14:textId="77777777" w:rsidR="006039F5" w:rsidRDefault="00000000" w:rsidP="00492CD6">
            <w:pPr>
              <w:adjustRightInd w:val="0"/>
              <w:snapToGrid w:val="0"/>
              <w:jc w:val="center"/>
            </w:pPr>
            <w:r>
              <w:rPr>
                <w:rFonts w:cs="Times New Roman"/>
                <w:b/>
                <w:bCs/>
                <w:sz w:val="20"/>
                <w:szCs w:val="20"/>
              </w:rPr>
              <w:t>p</w:t>
            </w:r>
          </w:p>
        </w:tc>
        <w:tc>
          <w:tcPr>
            <w:tcW w:w="1500" w:type="dxa"/>
            <w:tcBorders>
              <w:top w:val="single" w:sz="4" w:space="0" w:color="000000"/>
              <w:left w:val="none" w:sz="0" w:space="0" w:color="FFFFFF"/>
              <w:bottom w:val="single" w:sz="4" w:space="0" w:color="000000"/>
              <w:right w:val="none" w:sz="0" w:space="0" w:color="FFFFFF"/>
            </w:tcBorders>
            <w:tcMar>
              <w:top w:w="40" w:type="dxa"/>
              <w:left w:w="90" w:type="dxa"/>
              <w:bottom w:w="40" w:type="dxa"/>
              <w:right w:w="90" w:type="dxa"/>
            </w:tcMar>
            <w:vAlign w:val="center"/>
          </w:tcPr>
          <w:p w14:paraId="27C06926" w14:textId="77777777" w:rsidR="006039F5" w:rsidRDefault="00000000" w:rsidP="00492CD6">
            <w:pPr>
              <w:adjustRightInd w:val="0"/>
              <w:snapToGrid w:val="0"/>
              <w:jc w:val="center"/>
            </w:pPr>
            <w:r>
              <w:rPr>
                <w:rFonts w:cs="Times New Roman"/>
                <w:b/>
                <w:bCs/>
                <w:sz w:val="20"/>
                <w:szCs w:val="20"/>
              </w:rPr>
              <w:t>Outcome</w:t>
            </w:r>
          </w:p>
        </w:tc>
      </w:tr>
      <w:tr w:rsidR="006039F5" w14:paraId="14EC5274"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C43B9CD" w14:textId="77777777" w:rsidR="006039F5" w:rsidRDefault="00000000" w:rsidP="00492CD6">
            <w:pPr>
              <w:adjustRightInd w:val="0"/>
              <w:snapToGrid w:val="0"/>
            </w:pPr>
            <w:r>
              <w:rPr>
                <w:rFonts w:cs="Times New Roman"/>
                <w:sz w:val="20"/>
                <w:szCs w:val="20"/>
              </w:rPr>
              <w:t>H1</w:t>
            </w:r>
          </w:p>
        </w:tc>
        <w:tc>
          <w:tcPr>
            <w:tcW w:w="54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D3BD9E4" w14:textId="77777777" w:rsidR="006039F5" w:rsidRDefault="00000000" w:rsidP="00492CD6">
            <w:pPr>
              <w:adjustRightInd w:val="0"/>
              <w:snapToGrid w:val="0"/>
              <w:jc w:val="center"/>
            </w:pPr>
            <w:r>
              <w:rPr>
                <w:rFonts w:cs="Times New Roman"/>
                <w:sz w:val="20"/>
                <w:szCs w:val="20"/>
              </w:rPr>
              <w:t>576/576 items pass; mean IOC = 0.84</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C22F9A9" w14:textId="77777777" w:rsidR="006039F5" w:rsidRDefault="00000000" w:rsidP="00492CD6">
            <w:pPr>
              <w:adjustRightInd w:val="0"/>
              <w:snapToGrid w:val="0"/>
              <w:jc w:val="center"/>
            </w:pPr>
            <w:r>
              <w:rPr>
                <w:rFonts w:cs="Times New Roman"/>
                <w:sz w:val="20"/>
                <w:szCs w:val="20"/>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4D0AF92" w14:textId="77777777" w:rsidR="006039F5" w:rsidRDefault="00000000" w:rsidP="00492CD6">
            <w:pPr>
              <w:adjustRightInd w:val="0"/>
              <w:snapToGrid w:val="0"/>
              <w:jc w:val="center"/>
            </w:pPr>
            <w:r>
              <w:rPr>
                <w:rFonts w:cs="Times New Roman"/>
                <w:sz w:val="20"/>
                <w:szCs w:val="20"/>
              </w:rPr>
              <w:t>Supported</w:t>
            </w:r>
          </w:p>
        </w:tc>
      </w:tr>
      <w:tr w:rsidR="006039F5" w14:paraId="15A01B79"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4923DA85" w14:textId="77777777" w:rsidR="006039F5" w:rsidRDefault="00000000" w:rsidP="00492CD6">
            <w:pPr>
              <w:adjustRightInd w:val="0"/>
              <w:snapToGrid w:val="0"/>
            </w:pPr>
            <w:r>
              <w:rPr>
                <w:rFonts w:cs="Times New Roman"/>
                <w:sz w:val="20"/>
                <w:szCs w:val="20"/>
              </w:rPr>
              <w:t>H2</w:t>
            </w:r>
          </w:p>
        </w:tc>
        <w:tc>
          <w:tcPr>
            <w:tcW w:w="54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7F830ADC" w14:textId="77777777" w:rsidR="006039F5" w:rsidRDefault="00000000" w:rsidP="00492CD6">
            <w:pPr>
              <w:adjustRightInd w:val="0"/>
              <w:snapToGrid w:val="0"/>
              <w:jc w:val="center"/>
            </w:pPr>
            <w:r>
              <w:rPr>
                <w:rFonts w:cs="Times New Roman"/>
                <w:sz w:val="20"/>
                <w:szCs w:val="20"/>
              </w:rPr>
              <w:t>Group×Time F(2,114)=628.91, η²ₚ=.917</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144A55D" w14:textId="53FA5040" w:rsidR="006039F5" w:rsidRDefault="00000000" w:rsidP="00492CD6">
            <w:pPr>
              <w:adjustRightInd w:val="0"/>
              <w:snapToGrid w:val="0"/>
              <w:jc w:val="center"/>
            </w:pPr>
            <w:r>
              <w:rPr>
                <w:rFonts w:cs="Times New Roman"/>
                <w:sz w:val="20"/>
                <w:szCs w:val="20"/>
              </w:rPr>
              <w:t>.001</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2188BBFA" w14:textId="77777777" w:rsidR="006039F5" w:rsidRDefault="00000000" w:rsidP="00492CD6">
            <w:pPr>
              <w:adjustRightInd w:val="0"/>
              <w:snapToGrid w:val="0"/>
              <w:jc w:val="center"/>
            </w:pPr>
            <w:r>
              <w:rPr>
                <w:rFonts w:cs="Times New Roman"/>
                <w:sz w:val="20"/>
                <w:szCs w:val="20"/>
              </w:rPr>
              <w:t>Supported</w:t>
            </w:r>
          </w:p>
        </w:tc>
      </w:tr>
      <w:tr w:rsidR="006039F5" w14:paraId="2664C4A7"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3A4AA688" w14:textId="77777777" w:rsidR="006039F5" w:rsidRDefault="00000000" w:rsidP="00492CD6">
            <w:pPr>
              <w:adjustRightInd w:val="0"/>
              <w:snapToGrid w:val="0"/>
            </w:pPr>
            <w:r>
              <w:rPr>
                <w:rFonts w:cs="Times New Roman"/>
                <w:sz w:val="20"/>
                <w:szCs w:val="20"/>
              </w:rPr>
              <w:t>H3</w:t>
            </w:r>
          </w:p>
        </w:tc>
        <w:tc>
          <w:tcPr>
            <w:tcW w:w="5414"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5CE38460" w14:textId="77777777" w:rsidR="006039F5" w:rsidRDefault="00000000" w:rsidP="00492CD6">
            <w:pPr>
              <w:adjustRightInd w:val="0"/>
              <w:snapToGrid w:val="0"/>
              <w:jc w:val="center"/>
            </w:pPr>
            <w:r>
              <w:rPr>
                <w:rFonts w:cs="Times New Roman"/>
                <w:sz w:val="20"/>
                <w:szCs w:val="20"/>
              </w:rPr>
              <w:t>Group×Time F(2,114)=404.22, η²ₚ=.877</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1F5A2FF8" w14:textId="323D308C" w:rsidR="006039F5" w:rsidRDefault="00000000" w:rsidP="00492CD6">
            <w:pPr>
              <w:adjustRightInd w:val="0"/>
              <w:snapToGrid w:val="0"/>
              <w:jc w:val="center"/>
            </w:pPr>
            <w:r>
              <w:rPr>
                <w:rFonts w:cs="Times New Roman"/>
                <w:sz w:val="20"/>
                <w:szCs w:val="20"/>
              </w:rPr>
              <w:t>.001</w:t>
            </w:r>
            <w:r>
              <w:rPr>
                <w:sz w:val="20"/>
                <w:highlight w:val="yellow"/>
              </w:rPr>
              <w:t>*</w:t>
            </w:r>
          </w:p>
        </w:tc>
        <w:tc>
          <w:tcPr>
            <w:tcW w:w="1500" w:type="dxa"/>
            <w:tcBorders>
              <w:top w:val="none" w:sz="0" w:space="0" w:color="FFFFFF"/>
              <w:left w:val="none" w:sz="0" w:space="0" w:color="FFFFFF"/>
              <w:bottom w:val="none" w:sz="0" w:space="0" w:color="FFFFFF"/>
              <w:right w:val="none" w:sz="0" w:space="0" w:color="FFFFFF"/>
            </w:tcBorders>
            <w:tcMar>
              <w:top w:w="40" w:type="dxa"/>
              <w:left w:w="90" w:type="dxa"/>
              <w:bottom w:w="40" w:type="dxa"/>
              <w:right w:w="90" w:type="dxa"/>
            </w:tcMar>
            <w:vAlign w:val="center"/>
          </w:tcPr>
          <w:p w14:paraId="61EEEF72" w14:textId="77777777" w:rsidR="006039F5" w:rsidRDefault="00000000" w:rsidP="00492CD6">
            <w:pPr>
              <w:adjustRightInd w:val="0"/>
              <w:snapToGrid w:val="0"/>
              <w:jc w:val="center"/>
            </w:pPr>
            <w:r>
              <w:rPr>
                <w:rFonts w:cs="Times New Roman"/>
                <w:sz w:val="20"/>
                <w:szCs w:val="20"/>
              </w:rPr>
              <w:t>Supported</w:t>
            </w:r>
          </w:p>
        </w:tc>
      </w:tr>
      <w:tr w:rsidR="006039F5" w14:paraId="00B45C7D" w14:textId="77777777">
        <w:tblPrEx>
          <w:tblCellMar>
            <w:top w:w="0" w:type="dxa"/>
            <w:bottom w:w="0" w:type="dxa"/>
          </w:tblCellMar>
        </w:tblPrEx>
        <w:tc>
          <w:tcPr>
            <w:tcW w:w="9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02D90527" w14:textId="77777777" w:rsidR="006039F5" w:rsidRDefault="00000000" w:rsidP="00492CD6">
            <w:pPr>
              <w:adjustRightInd w:val="0"/>
              <w:snapToGrid w:val="0"/>
            </w:pPr>
            <w:r>
              <w:rPr>
                <w:rFonts w:cs="Times New Roman"/>
                <w:sz w:val="20"/>
                <w:szCs w:val="20"/>
              </w:rPr>
              <w:t>H4</w:t>
            </w:r>
          </w:p>
        </w:tc>
        <w:tc>
          <w:tcPr>
            <w:tcW w:w="5414"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AA74B69" w14:textId="77777777" w:rsidR="006039F5" w:rsidRDefault="00000000" w:rsidP="00492CD6">
            <w:pPr>
              <w:adjustRightInd w:val="0"/>
              <w:snapToGrid w:val="0"/>
              <w:jc w:val="center"/>
            </w:pPr>
            <w:r>
              <w:rPr>
                <w:rFonts w:cs="Times New Roman"/>
                <w:sz w:val="20"/>
                <w:szCs w:val="20"/>
              </w:rPr>
              <w:t>RM-ANOVA F(2,56)=1844.62 / 1247.38</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F04D55C" w14:textId="707C400D" w:rsidR="006039F5" w:rsidRDefault="00000000" w:rsidP="00492CD6">
            <w:pPr>
              <w:adjustRightInd w:val="0"/>
              <w:snapToGrid w:val="0"/>
              <w:jc w:val="center"/>
            </w:pPr>
            <w:r>
              <w:rPr>
                <w:rFonts w:cs="Times New Roman"/>
                <w:sz w:val="20"/>
                <w:szCs w:val="20"/>
              </w:rPr>
              <w:t xml:space="preserve"> .001</w:t>
            </w:r>
            <w:r>
              <w:rPr>
                <w:sz w:val="20"/>
                <w:highlight w:val="yellow"/>
              </w:rPr>
              <w:t>*</w:t>
            </w:r>
          </w:p>
        </w:tc>
        <w:tc>
          <w:tcPr>
            <w:tcW w:w="1500" w:type="dxa"/>
            <w:tcBorders>
              <w:top w:val="none" w:sz="0" w:space="0" w:color="FFFFFF"/>
              <w:left w:val="none" w:sz="0" w:space="0" w:color="FFFFFF"/>
              <w:bottom w:val="single" w:sz="4" w:space="0" w:color="000000"/>
              <w:right w:val="none" w:sz="0" w:space="0" w:color="FFFFFF"/>
            </w:tcBorders>
            <w:tcMar>
              <w:top w:w="40" w:type="dxa"/>
              <w:left w:w="90" w:type="dxa"/>
              <w:bottom w:w="40" w:type="dxa"/>
              <w:right w:w="90" w:type="dxa"/>
            </w:tcMar>
            <w:vAlign w:val="center"/>
          </w:tcPr>
          <w:p w14:paraId="577A0F93" w14:textId="77777777" w:rsidR="006039F5" w:rsidRDefault="00000000" w:rsidP="00492CD6">
            <w:pPr>
              <w:adjustRightInd w:val="0"/>
              <w:snapToGrid w:val="0"/>
              <w:jc w:val="center"/>
            </w:pPr>
            <w:r>
              <w:rPr>
                <w:rFonts w:cs="Times New Roman"/>
                <w:sz w:val="20"/>
                <w:szCs w:val="20"/>
              </w:rPr>
              <w:t>Supported</w:t>
            </w:r>
          </w:p>
        </w:tc>
      </w:tr>
    </w:tbl>
    <w:p w14:paraId="224CD1F9" w14:textId="77777777" w:rsidR="006039F5" w:rsidRDefault="00000000" w:rsidP="00492CD6">
      <w:pPr>
        <w:adjustRightInd w:val="0"/>
        <w:snapToGrid w:val="0"/>
        <w:spacing w:before="40" w:after="140"/>
      </w:pPr>
      <w:r>
        <w:rPr>
          <w:rFonts w:cs="Times New Roman"/>
          <w:i/>
          <w:iCs/>
          <w:sz w:val="20"/>
          <w:szCs w:val="20"/>
        </w:rPr>
        <w:t>Note. All four hypotheses were supported.</w:t>
      </w:r>
      <w:r>
        <w:rPr>
          <w:sz w:val="22"/>
        </w:rPr>
        <w:t xml:space="preserve">  </w:t>
      </w:r>
      <w:r>
        <w:rPr>
          <w:sz w:val="22"/>
          <w:highlight w:val="yellow"/>
        </w:rPr>
        <w:t>*</w:t>
      </w:r>
      <w:r>
        <w:rPr>
          <w:i/>
          <w:sz w:val="22"/>
          <w:highlight w:val="yellow"/>
        </w:rPr>
        <w:t>p</w:t>
      </w:r>
      <w:r>
        <w:rPr>
          <w:sz w:val="22"/>
          <w:highlight w:val="yellow"/>
        </w:rPr>
        <w:t xml:space="preserve"> &lt; .05.</w:t>
      </w:r>
    </w:p>
    <w:p w14:paraId="122819F1" w14:textId="77777777" w:rsidR="00492CD6" w:rsidRDefault="00492CD6" w:rsidP="00492CD6">
      <w:pPr>
        <w:adjustRightInd w:val="0"/>
        <w:snapToGrid w:val="0"/>
        <w:spacing w:before="160" w:after="80"/>
        <w:rPr>
          <w:rFonts w:cs="Times New Roman"/>
          <w:b/>
          <w:bCs/>
        </w:rPr>
      </w:pPr>
    </w:p>
    <w:p w14:paraId="781FF786" w14:textId="11DACE46" w:rsidR="006039F5" w:rsidRDefault="00000000" w:rsidP="00492CD6">
      <w:pPr>
        <w:adjustRightInd w:val="0"/>
        <w:snapToGrid w:val="0"/>
        <w:spacing w:before="160" w:after="80"/>
      </w:pPr>
      <w:r>
        <w:rPr>
          <w:rFonts w:cs="Times New Roman"/>
          <w:b/>
          <w:bCs/>
        </w:rPr>
        <w:t>Conclusion and Discussion</w:t>
      </w:r>
    </w:p>
    <w:p w14:paraId="7D67D29D" w14:textId="77777777" w:rsidR="006039F5" w:rsidRDefault="00000000" w:rsidP="00492CD6">
      <w:pPr>
        <w:adjustRightInd w:val="0"/>
        <w:snapToGrid w:val="0"/>
        <w:spacing w:after="100"/>
        <w:ind w:firstLine="480"/>
        <w:jc w:val="both"/>
      </w:pPr>
      <w:r>
        <w:rPr>
          <w:rFonts w:cs="Times New Roman"/>
        </w:rPr>
        <w:t>This study developed and evaluated the FC-SVA-BM, an instructional model integrating the flipped classroom with self-video analysis to enhance basketball shooting skill and personal and social responsibility in Grade 10 students. All four hypotheses were supported. The model achieved satisfactory content validity across all 576 rated items (mean IOC = 0.84), produced significantly superior shooting-skill outcomes relative to conventional instruction (posttest d = 4.27), produced significantly superior responsibility development (posttest d = 5.24), and generated significant progressive within-group improvement in both domains at every measurement interval.</w:t>
      </w:r>
    </w:p>
    <w:p w14:paraId="1307CE18" w14:textId="77777777" w:rsidR="006039F5" w:rsidRDefault="00000000" w:rsidP="00492CD6">
      <w:pPr>
        <w:adjustRightInd w:val="0"/>
        <w:snapToGrid w:val="0"/>
        <w:spacing w:after="100"/>
        <w:ind w:firstLine="480"/>
        <w:jc w:val="both"/>
      </w:pPr>
      <w:r>
        <w:rPr>
          <w:rFonts w:cs="Times New Roman"/>
        </w:rPr>
        <w:t>The content-validity result establishes the FC-SVA-BM as an expert-endorsed model, with a mean IOC comparable to or exceeding those reported for similar PE models (Liao et al., 2022; Liu et al., 2022). The expert panel's identification of two ambiguous STOC items illustrates that the IOC process functioned not merely as a quality-assurance gate but as a formative development tool, consistent with Boyer et al.'s (2023) recommendation that SVA instruments for student use be designed with explicit attention to novice-observer capacity.</w:t>
      </w:r>
    </w:p>
    <w:p w14:paraId="2D7A2857" w14:textId="77777777" w:rsidR="006039F5" w:rsidRDefault="00000000" w:rsidP="00492CD6">
      <w:pPr>
        <w:adjustRightInd w:val="0"/>
        <w:snapToGrid w:val="0"/>
        <w:spacing w:after="100"/>
        <w:ind w:firstLine="480"/>
        <w:jc w:val="both"/>
      </w:pPr>
      <w:r>
        <w:rPr>
          <w:rFonts w:cs="Times New Roman"/>
        </w:rPr>
        <w:t>The very large between-group difference in shooting skill substantially exceeds effects reported in prior FCM-in-PE studies, where pooled estimates have typically ranged from g = 0.52 to d = 0.86 (van Alten et al., 2019). Three design features plausibly account for the larger effect: the synergistic integration of FCM and SVA within one model; the structured STOC framework, which directed self-evaluation toward technically diagnostic features; and the 12-week duration, which allowed multiple full iterations of the self-regulated learning cycle. The progressive amplification of the advantage from midtest (d = 1.97) to posttest (d = 4.27) suggests the benefit is cumulative rather than merely additive: as learners' performance approaches the expert model, the discrepancy signal becomes more precise, enabling finer correction, in line with the self-comparison hypothesis (Ste-Marie et al., 2020). The control group's plateau in the second half mirrors the ceiling effect of conventional instruction documented by Li and Chen (2021).</w:t>
      </w:r>
    </w:p>
    <w:p w14:paraId="426A5F3B" w14:textId="77777777" w:rsidR="006039F5" w:rsidRDefault="00000000" w:rsidP="00492CD6">
      <w:pPr>
        <w:adjustRightInd w:val="0"/>
        <w:snapToGrid w:val="0"/>
        <w:spacing w:after="100"/>
        <w:ind w:firstLine="480"/>
        <w:jc w:val="both"/>
      </w:pPr>
      <w:r>
        <w:t xml:space="preserve">The responsibility findings are similarly strong and theoretically coherent. Unlike prior TPSR interventions that relied on general reflective discussion, the FC-SVA-BM embedded structured self-evaluation and goal-setting into every session through the reflective log, providing a sustained dose of self-regulatory practice. That Level III (Self-Direction) showed the largest posttest effect confirms the model targeted its theorized primary mechanism with precision. The acceleration of responsibility gains in the second half, coinciding with the deliberate fading of STOC scaffolding, is consistent with the development of autonomous self-direction as external structure is withdrawn </w:t>
      </w:r>
      <w:r>
        <w:rPr>
          <w:highlight w:val="yellow"/>
        </w:rPr>
        <w:t>(Chen et al., 2017)</w:t>
      </w:r>
      <w:r>
        <w:t>.</w:t>
      </w:r>
    </w:p>
    <w:p w14:paraId="05D43B2B" w14:textId="77777777" w:rsidR="006039F5" w:rsidRDefault="00000000" w:rsidP="00492CD6">
      <w:pPr>
        <w:adjustRightInd w:val="0"/>
        <w:snapToGrid w:val="0"/>
        <w:spacing w:after="100"/>
        <w:ind w:firstLine="480"/>
        <w:jc w:val="both"/>
      </w:pPr>
      <w:r>
        <w:rPr>
          <w:rFonts w:cs="Times New Roman"/>
        </w:rPr>
        <w:lastRenderedPageBreak/>
        <w:t>The most theoretically significant finding is the simultaneous large-magnitude improvement in both a psychomotor and an affective-behavioral outcome within a single 12-week program, achieved without additional instructional time beyond the standard PE lesson. This addresses the most frequently cited barrier to affective-domain integration in Chinese PE (Wang et al., 2023) and empirically confirms the theorized convergence of motor-learning and self-regulatory pathways through a shared reflective-log cycle. Several limitations temper these conclusions: the study used a single urban school with high technology access, employed class-level rather than individual random assignment, and did not include a delayed retention test. The exceptionally large effect sizes should therefore be interpreted with caution and confirmed in larger, multi-site trials.</w:t>
      </w:r>
    </w:p>
    <w:p w14:paraId="39EEA734" w14:textId="4FF8DBEA" w:rsidR="006039F5" w:rsidRDefault="00000000" w:rsidP="00492CD6">
      <w:pPr>
        <w:adjustRightInd w:val="0"/>
        <w:snapToGrid w:val="0"/>
        <w:spacing w:after="100"/>
        <w:ind w:firstLine="480"/>
        <w:jc w:val="both"/>
      </w:pPr>
      <w:r>
        <w:rPr>
          <w:rFonts w:cs="Times New Roman"/>
        </w:rPr>
        <w:t>The divergent developmental trajectories of the two outcomes are themselves theoretically informative. Shooting-skill improvement was approximately linear across the program, consistent with the steady, incremental schema refinement predicted by Cognitive Load Theory as extraneous load is reduced through mastery of pre-class content. Responsibility improvement, by contrast, accelerated in the second half, consistent with the non-linear development of metacognitive competencies: self-regulatory skills require an initial period of scaffolded practice before they become internalized habits whose effects compound across applications. These distinct rates of change would have been invisible without the midtest measurement, and they suggest that the model's two pathways operate through related but separable mechanisms</w:t>
      </w:r>
      <w:r w:rsidR="000B0D4D">
        <w:rPr>
          <w:rFonts w:cs="Times New Roman"/>
        </w:rPr>
        <w:t xml:space="preserve"> </w:t>
      </w:r>
      <w:r>
        <w:rPr>
          <w:rFonts w:cs="Times New Roman"/>
        </w:rPr>
        <w:t>immediate cognitive offloading for motor learning, and gradual habit internalization for responsibility. This distinction has design implications: programs that truncate the second half of the intervention risk forfeiting precisely the period in which responsibility gains are largest.</w:t>
      </w:r>
    </w:p>
    <w:p w14:paraId="139153C7" w14:textId="77777777" w:rsidR="006039F5" w:rsidRDefault="00000000" w:rsidP="00492CD6">
      <w:pPr>
        <w:adjustRightInd w:val="0"/>
        <w:snapToGrid w:val="0"/>
        <w:spacing w:after="100"/>
        <w:ind w:firstLine="480"/>
        <w:jc w:val="both"/>
      </w:pPr>
      <w:r>
        <w:rPr>
          <w:rFonts w:cs="Times New Roman"/>
        </w:rPr>
        <w:t>Two supplementary findings further inform implementation. First, the absence of gender moderation indicates that the model is equally effective for male and female students, which simplifies delivery in the mixed-gender classes typical of Guangzhou secondary PE and suggests that no gender-differentiated adaptation is required. Second, the positive association between implementation fidelity and individual gains, although moderate and based on a restricted fidelity range, underscores that the benefits depend on faithful delivery of all three components; partial or low-fidelity implementation should not be expected to reproduce the observed effects. Taken together with the high overall fidelity achieved by a single trained teacher using ordinary school resources, these results support the practical feasibility of the FC-SVA-BM while signalling that teacher preparation and ongoing fidelity monitoring are worthwhile investments.</w:t>
      </w:r>
    </w:p>
    <w:p w14:paraId="4947C39F" w14:textId="77777777" w:rsidR="006039F5" w:rsidRDefault="00000000" w:rsidP="00492CD6">
      <w:pPr>
        <w:adjustRightInd w:val="0"/>
        <w:snapToGrid w:val="0"/>
        <w:spacing w:before="160" w:after="80"/>
      </w:pPr>
      <w:r>
        <w:rPr>
          <w:rFonts w:cs="Times New Roman"/>
          <w:b/>
          <w:bCs/>
        </w:rPr>
        <w:t>Suggestions</w:t>
      </w:r>
    </w:p>
    <w:p w14:paraId="61288BCB" w14:textId="77777777" w:rsidR="006039F5" w:rsidRDefault="00000000" w:rsidP="00492CD6">
      <w:pPr>
        <w:adjustRightInd w:val="0"/>
        <w:snapToGrid w:val="0"/>
        <w:spacing w:after="100"/>
        <w:ind w:firstLine="480"/>
        <w:jc w:val="both"/>
      </w:pPr>
      <w:r>
        <w:rPr>
          <w:rFonts w:cs="Times New Roman"/>
        </w:rPr>
        <w:t>For practice, PE departments are encouraged to adopt the complete three-phase FC-SVA-BM rather than any single component in isolation, since the synergy of the integrated design is unlikely to be reproduced by partial implementation. Teachers should monitor pre-class video engagement early using WeChat viewing history and adhere to the progressive STOC scaffolding-fading schedule, which appears important for developing independent self-direction. For curriculum and policy, the STOC and reflective log offer validated formative-assessment tools that operationalize the technology-integration and self-management mandates of the 2022 curriculum standards and could be adapted to other curriculum sports.</w:t>
      </w:r>
    </w:p>
    <w:p w14:paraId="6B87CD33" w14:textId="77777777" w:rsidR="006039F5" w:rsidRDefault="00000000" w:rsidP="00492CD6">
      <w:pPr>
        <w:adjustRightInd w:val="0"/>
        <w:snapToGrid w:val="0"/>
        <w:spacing w:after="100"/>
        <w:ind w:firstLine="480"/>
        <w:jc w:val="both"/>
      </w:pPr>
      <w:r>
        <w:rPr>
          <w:rFonts w:cs="Times New Roman"/>
        </w:rPr>
        <w:t>For future research, the model should be replicated across rural schools, larger classes, and varied socioeconomic settings; long-term retention and TPSR Level V transfer should be assessed with delayed follow-up; mediational analyses should test the proposed self-regulated-learning pathway; and the framework should be adapted and validated for other sports and educational levels. A cluster randomized controlled trial with multiple schools per arm would provide the strongest causal evidence, and dose-response designs could identify the minimum effective dose for resource-constrained contexts.</w:t>
      </w:r>
    </w:p>
    <w:p w14:paraId="04662832" w14:textId="77777777" w:rsidR="00492CD6" w:rsidRDefault="00492CD6" w:rsidP="00492CD6">
      <w:pPr>
        <w:adjustRightInd w:val="0"/>
        <w:snapToGrid w:val="0"/>
        <w:spacing w:before="160" w:after="80"/>
        <w:rPr>
          <w:rFonts w:cs="Times New Roman"/>
          <w:b/>
          <w:bCs/>
        </w:rPr>
      </w:pPr>
    </w:p>
    <w:p w14:paraId="53D8114A" w14:textId="57341713" w:rsidR="006039F5" w:rsidRDefault="00000000" w:rsidP="00492CD6">
      <w:pPr>
        <w:adjustRightInd w:val="0"/>
        <w:snapToGrid w:val="0"/>
        <w:spacing w:before="160" w:after="80"/>
      </w:pPr>
      <w:r>
        <w:rPr>
          <w:rFonts w:cs="Times New Roman"/>
          <w:b/>
          <w:bCs/>
        </w:rPr>
        <w:t>References</w:t>
      </w:r>
    </w:p>
    <w:p w14:paraId="231C3627" w14:textId="77777777" w:rsidR="006039F5" w:rsidRDefault="00000000" w:rsidP="00492CD6">
      <w:pPr>
        <w:adjustRightInd w:val="0"/>
        <w:snapToGrid w:val="0"/>
        <w:spacing w:after="100"/>
        <w:ind w:left="480" w:hanging="480"/>
      </w:pPr>
      <w:r>
        <w:rPr>
          <w:rFonts w:cs="Times New Roman"/>
        </w:rPr>
        <w:t xml:space="preserve">Bandura, A. (1986). </w:t>
      </w:r>
      <w:r>
        <w:rPr>
          <w:rFonts w:cs="Times New Roman"/>
          <w:i/>
          <w:iCs/>
        </w:rPr>
        <w:t>Social foundations of thought and action: A social cognitive theory.</w:t>
      </w:r>
      <w:r>
        <w:rPr>
          <w:rFonts w:cs="Times New Roman"/>
        </w:rPr>
        <w:t xml:space="preserve"> Prentice-Hall.</w:t>
      </w:r>
    </w:p>
    <w:p w14:paraId="0C5629B9" w14:textId="77777777" w:rsidR="006039F5" w:rsidRDefault="00000000" w:rsidP="00492CD6">
      <w:pPr>
        <w:adjustRightInd w:val="0"/>
        <w:snapToGrid w:val="0"/>
        <w:spacing w:after="100"/>
        <w:ind w:left="480" w:hanging="480"/>
      </w:pPr>
      <w:r>
        <w:rPr>
          <w:rFonts w:cs="Times New Roman"/>
        </w:rPr>
        <w:t xml:space="preserve">Boyer, E., Miltenberger, R. G., Batsche, C., &amp; Fogel, V. (2023). Video self-modeling in sport skill acquisition: A systematic review and meta-analysis. </w:t>
      </w:r>
      <w:r>
        <w:rPr>
          <w:rFonts w:cs="Times New Roman"/>
          <w:i/>
          <w:iCs/>
        </w:rPr>
        <w:t>Journal of Applied Behavior Analysis, 56</w:t>
      </w:r>
      <w:r>
        <w:rPr>
          <w:rFonts w:cs="Times New Roman"/>
        </w:rPr>
        <w:t>(1), 115–134. https://doi.org/10.1002/jaba.946</w:t>
      </w:r>
    </w:p>
    <w:p w14:paraId="608B507B" w14:textId="77777777" w:rsidR="006039F5" w:rsidRDefault="00000000" w:rsidP="00492CD6">
      <w:pPr>
        <w:adjustRightInd w:val="0"/>
        <w:snapToGrid w:val="0"/>
        <w:spacing w:after="100"/>
        <w:ind w:left="480" w:hanging="480"/>
      </w:pPr>
      <w:r>
        <w:rPr>
          <w:rFonts w:cs="Times New Roman"/>
        </w:rPr>
        <w:t xml:space="preserve">Chen, H., &amp; Liu, Y. (2022). National assessment of basketball skill proficiency among secondary school students in China: 2019–2021 report. </w:t>
      </w:r>
      <w:r>
        <w:rPr>
          <w:rFonts w:cs="Times New Roman"/>
          <w:i/>
          <w:iCs/>
        </w:rPr>
        <w:t>Chinese Journal of School Health, 43</w:t>
      </w:r>
      <w:r>
        <w:rPr>
          <w:rFonts w:cs="Times New Roman"/>
        </w:rPr>
        <w:t>(4), 512–518.</w:t>
      </w:r>
    </w:p>
    <w:p w14:paraId="5B9B7A50" w14:textId="77777777" w:rsidR="006039F5" w:rsidRDefault="00000000" w:rsidP="00492CD6">
      <w:pPr>
        <w:adjustRightInd w:val="0"/>
        <w:snapToGrid w:val="0"/>
        <w:spacing w:after="100"/>
        <w:ind w:left="480" w:hanging="480"/>
      </w:pPr>
      <w:r>
        <w:rPr>
          <w:highlight w:val="yellow"/>
        </w:rPr>
        <w:t xml:space="preserve">Chen, O., Kalyuga, S., &amp; Sweller, J. (2017). The expertise reversal effect is a variant of the more general element interactivity effect. </w:t>
      </w:r>
      <w:r>
        <w:rPr>
          <w:i/>
          <w:highlight w:val="yellow"/>
        </w:rPr>
        <w:t>Educational Psychology Review, 29</w:t>
      </w:r>
      <w:r>
        <w:rPr>
          <w:highlight w:val="yellow"/>
        </w:rPr>
        <w:t>(2), 393–405. https://doi.org/10.1007/s10648-016-9359-1</w:t>
      </w:r>
    </w:p>
    <w:p w14:paraId="76B04406" w14:textId="77777777" w:rsidR="006039F5" w:rsidRDefault="00000000" w:rsidP="00492CD6">
      <w:pPr>
        <w:adjustRightInd w:val="0"/>
        <w:snapToGrid w:val="0"/>
        <w:spacing w:after="100"/>
        <w:ind w:left="480" w:hanging="480"/>
      </w:pPr>
      <w:r>
        <w:rPr>
          <w:rFonts w:cs="Times New Roman"/>
        </w:rPr>
        <w:t xml:space="preserve">CNNIC. (2023). </w:t>
      </w:r>
      <w:r>
        <w:rPr>
          <w:rFonts w:cs="Times New Roman"/>
          <w:i/>
          <w:iCs/>
        </w:rPr>
        <w:t>The 51st statistical report on China's internet development.</w:t>
      </w:r>
      <w:r>
        <w:rPr>
          <w:rFonts w:cs="Times New Roman"/>
        </w:rPr>
        <w:t xml:space="preserve"> China Internet Network Information Center.</w:t>
      </w:r>
    </w:p>
    <w:p w14:paraId="632E88C6" w14:textId="77777777" w:rsidR="006039F5" w:rsidRDefault="00000000" w:rsidP="00492CD6">
      <w:pPr>
        <w:adjustRightInd w:val="0"/>
        <w:snapToGrid w:val="0"/>
        <w:spacing w:after="100"/>
        <w:ind w:left="480" w:hanging="480"/>
      </w:pPr>
      <w:r>
        <w:rPr>
          <w:rFonts w:cs="Times New Roman"/>
        </w:rPr>
        <w:t xml:space="preserve">Csataljay, G., O'Donoghue, P., Hughes, M., &amp; Dancs, H. (2021). Shooting efficiency and performance indicators in elite basketball. </w:t>
      </w:r>
      <w:r>
        <w:rPr>
          <w:rFonts w:cs="Times New Roman"/>
          <w:i/>
          <w:iCs/>
        </w:rPr>
        <w:t>International Journal of Performance Analysis in Sport, 21</w:t>
      </w:r>
      <w:r>
        <w:rPr>
          <w:rFonts w:cs="Times New Roman"/>
        </w:rPr>
        <w:t>(2), 183–197. https://doi.org/10.1080/24748668.2021.1877499</w:t>
      </w:r>
    </w:p>
    <w:p w14:paraId="0B41F1AB" w14:textId="77777777" w:rsidR="006039F5" w:rsidRDefault="00000000" w:rsidP="00492CD6">
      <w:pPr>
        <w:adjustRightInd w:val="0"/>
        <w:snapToGrid w:val="0"/>
        <w:spacing w:after="100"/>
        <w:ind w:left="480" w:hanging="480"/>
      </w:pPr>
      <w:r>
        <w:rPr>
          <w:rFonts w:cs="Times New Roman"/>
        </w:rPr>
        <w:t xml:space="preserve">Guadagnoli, M. A., Holcomb, W. R., &amp; Davis, M. (2022). The efficacy of video feedback for learning the golf swing. </w:t>
      </w:r>
      <w:r>
        <w:rPr>
          <w:rFonts w:cs="Times New Roman"/>
          <w:i/>
          <w:iCs/>
        </w:rPr>
        <w:t>Journal of Sports Sciences, 40</w:t>
      </w:r>
      <w:r>
        <w:rPr>
          <w:rFonts w:cs="Times New Roman"/>
        </w:rPr>
        <w:t>(8), 893–901. https://doi.org/10.1080/02640414.2022.2042131</w:t>
      </w:r>
    </w:p>
    <w:p w14:paraId="7BE0E983" w14:textId="77777777" w:rsidR="006039F5" w:rsidRDefault="00000000" w:rsidP="00492CD6">
      <w:pPr>
        <w:adjustRightInd w:val="0"/>
        <w:snapToGrid w:val="0"/>
        <w:spacing w:after="100"/>
        <w:ind w:left="480" w:hanging="480"/>
      </w:pPr>
      <w:r>
        <w:rPr>
          <w:rFonts w:cs="Times New Roman"/>
        </w:rPr>
        <w:t xml:space="preserve">Hwang, G.-J., &amp; Lai, C.-L. (2017). Facilitating and bridging out-of-class and in-class learning: An interactive e-book-based flipped learning approach. </w:t>
      </w:r>
      <w:r>
        <w:rPr>
          <w:rFonts w:cs="Times New Roman"/>
          <w:i/>
          <w:iCs/>
        </w:rPr>
        <w:t>Journal of Educational Technology &amp; Society, 20</w:t>
      </w:r>
      <w:r>
        <w:rPr>
          <w:rFonts w:cs="Times New Roman"/>
        </w:rPr>
        <w:t>(1), 184–197.</w:t>
      </w:r>
    </w:p>
    <w:p w14:paraId="7E6B2FDC" w14:textId="77777777" w:rsidR="006039F5" w:rsidRDefault="00000000" w:rsidP="00492CD6">
      <w:pPr>
        <w:adjustRightInd w:val="0"/>
        <w:snapToGrid w:val="0"/>
        <w:spacing w:after="100"/>
        <w:ind w:left="480" w:hanging="480"/>
      </w:pPr>
      <w:r>
        <w:rPr>
          <w:highlight w:val="yellow"/>
        </w:rPr>
        <w:t xml:space="preserve">Ismail, F. K. M., &amp; Zubairi, A. M. B. (2022). Item objective congruence analysis for multidimensional items: Content validation of a reading test in Sri Lankan university. </w:t>
      </w:r>
      <w:r>
        <w:rPr>
          <w:i/>
          <w:highlight w:val="yellow"/>
        </w:rPr>
        <w:t>English Language Teaching, 15</w:t>
      </w:r>
      <w:r>
        <w:rPr>
          <w:highlight w:val="yellow"/>
        </w:rPr>
        <w:t>(1), 106–119. https://doi.org/10.5539/elt.v15n1p106</w:t>
      </w:r>
    </w:p>
    <w:p w14:paraId="71181310" w14:textId="77777777" w:rsidR="006039F5" w:rsidRDefault="00000000" w:rsidP="00492CD6">
      <w:pPr>
        <w:adjustRightInd w:val="0"/>
        <w:snapToGrid w:val="0"/>
        <w:spacing w:after="100"/>
        <w:ind w:left="480" w:hanging="480"/>
      </w:pPr>
      <w:r>
        <w:rPr>
          <w:rFonts w:cs="Times New Roman"/>
        </w:rPr>
        <w:t xml:space="preserve">Jiang, X., Zhang, W., &amp; Li, Q. (2020). Time-on-task analysis in Chinese secondary physical education: Implications for instructional design reform. </w:t>
      </w:r>
      <w:r>
        <w:rPr>
          <w:rFonts w:cs="Times New Roman"/>
          <w:i/>
          <w:iCs/>
        </w:rPr>
        <w:t>Asia-Pacific Journal of Health, Sport and Physical Education, 11</w:t>
      </w:r>
      <w:r>
        <w:rPr>
          <w:rFonts w:cs="Times New Roman"/>
        </w:rPr>
        <w:t>(3), 225–238. https://doi.org/10.1080/18377122.2020.1782544</w:t>
      </w:r>
    </w:p>
    <w:p w14:paraId="43A04EAA" w14:textId="77777777" w:rsidR="006039F5" w:rsidRDefault="00000000" w:rsidP="00492CD6">
      <w:pPr>
        <w:adjustRightInd w:val="0"/>
        <w:snapToGrid w:val="0"/>
        <w:spacing w:after="100"/>
        <w:ind w:left="480" w:hanging="480"/>
      </w:pPr>
      <w:r>
        <w:rPr>
          <w:rFonts w:cs="Times New Roman"/>
        </w:rPr>
        <w:t xml:space="preserve">Li, C., &amp; Chen, S. (2021). Analysis of physical education teaching time utilization in Chinese secondary schools: A systematic observation study. </w:t>
      </w:r>
      <w:r>
        <w:rPr>
          <w:rFonts w:cs="Times New Roman"/>
          <w:i/>
          <w:iCs/>
        </w:rPr>
        <w:t>Journal of Teaching in Physical Education, 40</w:t>
      </w:r>
      <w:r>
        <w:rPr>
          <w:rFonts w:cs="Times New Roman"/>
        </w:rPr>
        <w:t>(3), 412–421. https://doi.org/10.1123/jtpe.2020-0042</w:t>
      </w:r>
    </w:p>
    <w:p w14:paraId="77F6A15A" w14:textId="77777777" w:rsidR="006039F5" w:rsidRDefault="00000000" w:rsidP="00492CD6">
      <w:pPr>
        <w:adjustRightInd w:val="0"/>
        <w:snapToGrid w:val="0"/>
        <w:spacing w:after="100"/>
        <w:ind w:left="480" w:hanging="480"/>
      </w:pPr>
      <w:r>
        <w:rPr>
          <w:rFonts w:cs="Times New Roman"/>
        </w:rPr>
        <w:t xml:space="preserve">Liao, Z., Wang, C., &amp; He, Y. (2022). Effects of a flipped PE classroom on volleyball skills and student motivation in Chinese secondary schools. </w:t>
      </w:r>
      <w:r>
        <w:rPr>
          <w:rFonts w:cs="Times New Roman"/>
          <w:i/>
          <w:iCs/>
        </w:rPr>
        <w:t>Physical Education and Sport Pedagogy, 27</w:t>
      </w:r>
      <w:r>
        <w:rPr>
          <w:rFonts w:cs="Times New Roman"/>
        </w:rPr>
        <w:t>(4), 378–393. https://doi.org/10.1080/17408989.2021.1964861</w:t>
      </w:r>
    </w:p>
    <w:p w14:paraId="4B98F27B" w14:textId="77777777" w:rsidR="006039F5" w:rsidRDefault="00000000" w:rsidP="00492CD6">
      <w:pPr>
        <w:adjustRightInd w:val="0"/>
        <w:snapToGrid w:val="0"/>
        <w:spacing w:after="100"/>
        <w:ind w:left="480" w:hanging="480"/>
      </w:pPr>
      <w:r>
        <w:rPr>
          <w:rFonts w:cs="Times New Roman"/>
        </w:rPr>
        <w:t xml:space="preserve">Liu, R., Zhang, L., &amp; Sun, Y. (2022). Teaching personal and social responsibility through team sports in Chinese secondary physical education: A quasi-experimental study. </w:t>
      </w:r>
      <w:r>
        <w:rPr>
          <w:rFonts w:cs="Times New Roman"/>
          <w:i/>
          <w:iCs/>
        </w:rPr>
        <w:t>Asian Journal of Physical Education and Sport Science, 10</w:t>
      </w:r>
      <w:r>
        <w:rPr>
          <w:rFonts w:cs="Times New Roman"/>
        </w:rPr>
        <w:t>(2), 87–104.</w:t>
      </w:r>
    </w:p>
    <w:p w14:paraId="459B2B08" w14:textId="77777777" w:rsidR="006039F5" w:rsidRDefault="00000000" w:rsidP="00492CD6">
      <w:pPr>
        <w:adjustRightInd w:val="0"/>
        <w:snapToGrid w:val="0"/>
        <w:spacing w:after="100"/>
        <w:ind w:left="480" w:hanging="480"/>
      </w:pPr>
      <w:r>
        <w:rPr>
          <w:rFonts w:cs="Times New Roman"/>
        </w:rPr>
        <w:t xml:space="preserve">Ministry of Education of China. (2022). </w:t>
      </w:r>
      <w:r>
        <w:rPr>
          <w:rFonts w:cs="Times New Roman"/>
          <w:i/>
          <w:iCs/>
        </w:rPr>
        <w:t>Physical education and health curriculum standards for compulsory education (2022 revision).</w:t>
      </w:r>
      <w:r>
        <w:rPr>
          <w:rFonts w:cs="Times New Roman"/>
        </w:rPr>
        <w:t xml:space="preserve"> People's Education Press.</w:t>
      </w:r>
    </w:p>
    <w:p w14:paraId="6CCE9D48" w14:textId="77777777" w:rsidR="006039F5" w:rsidRDefault="00000000" w:rsidP="00492CD6">
      <w:pPr>
        <w:adjustRightInd w:val="0"/>
        <w:snapToGrid w:val="0"/>
        <w:spacing w:after="100"/>
        <w:ind w:left="480" w:hanging="480"/>
      </w:pPr>
      <w:r>
        <w:rPr>
          <w:rFonts w:cs="Times New Roman"/>
        </w:rPr>
        <w:t xml:space="preserve">Osei-Owusu, B., Subramaniam, P. R., &amp; Koh, K. T. (2021). Effects of video self-modeling and expert modelling on swimming technique in secondary school students: A randomized </w:t>
      </w:r>
      <w:r>
        <w:rPr>
          <w:rFonts w:cs="Times New Roman"/>
        </w:rPr>
        <w:lastRenderedPageBreak/>
        <w:t xml:space="preserve">controlled trial. </w:t>
      </w:r>
      <w:r>
        <w:rPr>
          <w:rFonts w:cs="Times New Roman"/>
          <w:i/>
          <w:iCs/>
        </w:rPr>
        <w:t>Physical Education and Sport Pedagogy, 26</w:t>
      </w:r>
      <w:r>
        <w:rPr>
          <w:rFonts w:cs="Times New Roman"/>
        </w:rPr>
        <w:t>(5), 481–495. https://doi.org/10.1080/17408989.2020.1812558</w:t>
      </w:r>
    </w:p>
    <w:p w14:paraId="4D74C905" w14:textId="77777777" w:rsidR="006039F5" w:rsidRDefault="00000000" w:rsidP="00492CD6">
      <w:pPr>
        <w:adjustRightInd w:val="0"/>
        <w:snapToGrid w:val="0"/>
        <w:spacing w:after="100"/>
        <w:ind w:left="480" w:hanging="480"/>
      </w:pPr>
      <w:r>
        <w:rPr>
          <w:highlight w:val="yellow"/>
        </w:rPr>
        <w:t xml:space="preserve">Ren, Y., Wu, J., &amp; Qin, H. (2023). Development and validation of a personal responsibility scale for Chinese college students. </w:t>
      </w:r>
      <w:r>
        <w:rPr>
          <w:i/>
          <w:highlight w:val="yellow"/>
        </w:rPr>
        <w:t>Frontiers in Psychology, 14</w:t>
      </w:r>
      <w:r>
        <w:rPr>
          <w:highlight w:val="yellow"/>
        </w:rPr>
        <w:t>, 1231462. https://doi.org/10.3389/fpsyg.2023.1231462</w:t>
      </w:r>
    </w:p>
    <w:p w14:paraId="14509405" w14:textId="77777777" w:rsidR="006039F5" w:rsidRDefault="00000000" w:rsidP="00492CD6">
      <w:pPr>
        <w:adjustRightInd w:val="0"/>
        <w:snapToGrid w:val="0"/>
        <w:spacing w:after="100"/>
        <w:ind w:left="480" w:hanging="480"/>
      </w:pPr>
      <w:r>
        <w:rPr>
          <w:rFonts w:cs="Times New Roman"/>
        </w:rPr>
        <w:t xml:space="preserve">Ste-Marie, D. M., Lelievre, N., &amp; Trudel, P. (2020). Learner-regulated practice and the self-comparison hypothesis: Implications for motor learning. </w:t>
      </w:r>
      <w:r>
        <w:rPr>
          <w:rFonts w:cs="Times New Roman"/>
          <w:i/>
          <w:iCs/>
        </w:rPr>
        <w:t>Frontiers in Psychology, 11</w:t>
      </w:r>
      <w:r>
        <w:rPr>
          <w:rFonts w:cs="Times New Roman"/>
        </w:rPr>
        <w:t>, Article 568845. https://doi.org/10.3389/fpsyg.2020.568845</w:t>
      </w:r>
    </w:p>
    <w:p w14:paraId="724B3711" w14:textId="77777777" w:rsidR="006039F5" w:rsidRDefault="00000000" w:rsidP="00492CD6">
      <w:pPr>
        <w:adjustRightInd w:val="0"/>
        <w:snapToGrid w:val="0"/>
        <w:spacing w:after="100"/>
        <w:ind w:left="480" w:hanging="480"/>
      </w:pPr>
      <w:r>
        <w:rPr>
          <w:rFonts w:cs="Times New Roman"/>
        </w:rPr>
        <w:t xml:space="preserve">Strand, B. N., &amp; Wilson, R. (1993). </w:t>
      </w:r>
      <w:r>
        <w:rPr>
          <w:rFonts w:cs="Times New Roman"/>
          <w:i/>
          <w:iCs/>
        </w:rPr>
        <w:t>Assessing sport skills.</w:t>
      </w:r>
      <w:r>
        <w:rPr>
          <w:rFonts w:cs="Times New Roman"/>
        </w:rPr>
        <w:t xml:space="preserve"> Human Kinetics.</w:t>
      </w:r>
    </w:p>
    <w:p w14:paraId="4A8C6A4E" w14:textId="77777777" w:rsidR="006039F5" w:rsidRDefault="00000000" w:rsidP="00492CD6">
      <w:pPr>
        <w:adjustRightInd w:val="0"/>
        <w:snapToGrid w:val="0"/>
        <w:spacing w:after="100"/>
        <w:ind w:left="480" w:hanging="480"/>
      </w:pPr>
      <w:r>
        <w:rPr>
          <w:rFonts w:cs="Times New Roman"/>
        </w:rPr>
        <w:t xml:space="preserve">Thai, N. T. T., De Wever, B., &amp; Valcke, M. (2017). The impact of a flipped classroom design on learning performance in higher education. </w:t>
      </w:r>
      <w:r>
        <w:rPr>
          <w:rFonts w:cs="Times New Roman"/>
          <w:i/>
          <w:iCs/>
        </w:rPr>
        <w:t>Computers &amp; Education, 107</w:t>
      </w:r>
      <w:r>
        <w:rPr>
          <w:rFonts w:cs="Times New Roman"/>
        </w:rPr>
        <w:t>, 113–126. https://doi.org/10.1016/j.compedu.2017.01.003</w:t>
      </w:r>
    </w:p>
    <w:p w14:paraId="07D7182B" w14:textId="77777777" w:rsidR="006039F5" w:rsidRDefault="00000000" w:rsidP="00492CD6">
      <w:pPr>
        <w:adjustRightInd w:val="0"/>
        <w:snapToGrid w:val="0"/>
        <w:spacing w:after="100"/>
        <w:ind w:left="480" w:hanging="480"/>
      </w:pPr>
      <w:r>
        <w:rPr>
          <w:rFonts w:cs="Times New Roman"/>
        </w:rPr>
        <w:t xml:space="preserve">van Alten, D. C. D., Phielix, C., Janssen, J., &amp; Kester, L. (2019). Effects of flipping the classroom on learning outcomes and satisfaction: A meta-analysis. </w:t>
      </w:r>
      <w:r>
        <w:rPr>
          <w:rFonts w:cs="Times New Roman"/>
          <w:i/>
          <w:iCs/>
        </w:rPr>
        <w:t>Educational Research Review, 28</w:t>
      </w:r>
      <w:r>
        <w:rPr>
          <w:rFonts w:cs="Times New Roman"/>
        </w:rPr>
        <w:t>, Article 100281. https://doi.org/10.1016/j.edurev.2019.05.003</w:t>
      </w:r>
    </w:p>
    <w:p w14:paraId="61C6D753" w14:textId="77777777" w:rsidR="006039F5" w:rsidRDefault="00000000" w:rsidP="00492CD6">
      <w:pPr>
        <w:adjustRightInd w:val="0"/>
        <w:snapToGrid w:val="0"/>
        <w:spacing w:after="100"/>
        <w:ind w:left="480" w:hanging="480"/>
      </w:pPr>
      <w:r>
        <w:rPr>
          <w:rFonts w:cs="Times New Roman"/>
        </w:rPr>
        <w:t xml:space="preserve">Wang, Q., Sun, Y., &amp; Zhao, L. (2023). Affective domain integration in Chinese secondary physical education: A systematic observation study. </w:t>
      </w:r>
      <w:r>
        <w:rPr>
          <w:rFonts w:cs="Times New Roman"/>
          <w:i/>
          <w:iCs/>
        </w:rPr>
        <w:t>Asia Pacific Education Review, 24</w:t>
      </w:r>
      <w:r>
        <w:rPr>
          <w:rFonts w:cs="Times New Roman"/>
        </w:rPr>
        <w:t>(1), 45–59. https://doi.org/10.1007/s12564-022-09764-3</w:t>
      </w:r>
    </w:p>
    <w:sectPr w:rsidR="006039F5">
      <w:pgSz w:w="11906" w:h="16838"/>
      <w:pgMar w:top="1728" w:right="1152" w:bottom="1152"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F40DDA"/>
    <w:multiLevelType w:val="hybridMultilevel"/>
    <w:tmpl w:val="0EBA3F18"/>
    <w:lvl w:ilvl="0" w:tplc="EFC61672">
      <w:start w:val="1"/>
      <w:numFmt w:val="bullet"/>
      <w:lvlText w:val="●"/>
      <w:lvlJc w:val="left"/>
      <w:pPr>
        <w:ind w:left="720" w:hanging="360"/>
      </w:pPr>
    </w:lvl>
    <w:lvl w:ilvl="1" w:tplc="5EE29F94">
      <w:start w:val="1"/>
      <w:numFmt w:val="bullet"/>
      <w:lvlText w:val="○"/>
      <w:lvlJc w:val="left"/>
      <w:pPr>
        <w:ind w:left="1440" w:hanging="360"/>
      </w:pPr>
    </w:lvl>
    <w:lvl w:ilvl="2" w:tplc="98CC4600">
      <w:start w:val="1"/>
      <w:numFmt w:val="bullet"/>
      <w:lvlText w:val="■"/>
      <w:lvlJc w:val="left"/>
      <w:pPr>
        <w:ind w:left="2160" w:hanging="360"/>
      </w:pPr>
    </w:lvl>
    <w:lvl w:ilvl="3" w:tplc="BF325592">
      <w:start w:val="1"/>
      <w:numFmt w:val="bullet"/>
      <w:lvlText w:val="●"/>
      <w:lvlJc w:val="left"/>
      <w:pPr>
        <w:ind w:left="2880" w:hanging="360"/>
      </w:pPr>
    </w:lvl>
    <w:lvl w:ilvl="4" w:tplc="2E92EFB6">
      <w:start w:val="1"/>
      <w:numFmt w:val="bullet"/>
      <w:lvlText w:val="○"/>
      <w:lvlJc w:val="left"/>
      <w:pPr>
        <w:ind w:left="3600" w:hanging="360"/>
      </w:pPr>
    </w:lvl>
    <w:lvl w:ilvl="5" w:tplc="DB46BA0C">
      <w:start w:val="1"/>
      <w:numFmt w:val="bullet"/>
      <w:lvlText w:val="■"/>
      <w:lvlJc w:val="left"/>
      <w:pPr>
        <w:ind w:left="4320" w:hanging="360"/>
      </w:pPr>
    </w:lvl>
    <w:lvl w:ilvl="6" w:tplc="CE7E502C">
      <w:start w:val="1"/>
      <w:numFmt w:val="bullet"/>
      <w:lvlText w:val="●"/>
      <w:lvlJc w:val="left"/>
      <w:pPr>
        <w:ind w:left="5040" w:hanging="360"/>
      </w:pPr>
    </w:lvl>
    <w:lvl w:ilvl="7" w:tplc="014061DE">
      <w:start w:val="1"/>
      <w:numFmt w:val="bullet"/>
      <w:lvlText w:val="●"/>
      <w:lvlJc w:val="left"/>
      <w:pPr>
        <w:ind w:left="5760" w:hanging="360"/>
      </w:pPr>
    </w:lvl>
    <w:lvl w:ilvl="8" w:tplc="10AABE60">
      <w:start w:val="1"/>
      <w:numFmt w:val="bullet"/>
      <w:lvlText w:val="●"/>
      <w:lvlJc w:val="left"/>
      <w:pPr>
        <w:ind w:left="6480" w:hanging="360"/>
      </w:pPr>
    </w:lvl>
  </w:abstractNum>
  <w:num w:numId="1" w16cid:durableId="24067967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F5"/>
    <w:rsid w:val="000B0D4D"/>
    <w:rsid w:val="00492CD6"/>
    <w:rsid w:val="006039F5"/>
    <w:rsid w:val="00B6472E"/>
    <w:rsid w:val="00C07C37"/>
    <w:rsid w:val="00CF3A7F"/>
    <w:rsid w:val="00D576C0"/>
    <w:rsid w:val="00EA243F"/>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7FE317B1"/>
  <w15:docId w15:val="{247AC2DB-9E5D-9748-B8EF-688029E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A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5369</Words>
  <Characters>30609</Characters>
  <Application>Microsoft Office Word</Application>
  <DocSecurity>0</DocSecurity>
  <Lines>255</Lines>
  <Paragraphs>71</Paragraphs>
  <ScaleCrop>false</ScaleCrop>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twisute tongde</cp:lastModifiedBy>
  <cp:revision>2</cp:revision>
  <dcterms:created xsi:type="dcterms:W3CDTF">2026-06-27T03:14:00Z</dcterms:created>
  <dcterms:modified xsi:type="dcterms:W3CDTF">2026-06-27T03:14:00Z</dcterms:modified>
</cp:coreProperties>
</file>