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306BDD7" w14:textId="77777777" w:rsidR="00E92E2F" w:rsidRPr="00C06AAA" w:rsidRDefault="00000000" w:rsidP="00044ED7">
      <w:pPr>
        <w:jc w:val="center"/>
      </w:pPr>
      <w:r w:rsidRPr="00C06AAA">
        <w:rPr>
          <w:rFonts w:cs="Times New Roman"/>
          <w:b/>
          <w:bCs/>
          <w:sz w:val="28"/>
          <w:szCs w:val="28"/>
        </w:rPr>
        <w:t>Effects of a Badminton-Specific HIIT-Based Physical Education Approach on Badminton Skills, Health-Related Fitness, and Attitude toward Exercise in Grade 11 Students</w:t>
      </w:r>
    </w:p>
    <w:p w14:paraId="16ACDD92" w14:textId="77777777" w:rsidR="00FF410E" w:rsidRDefault="00000000" w:rsidP="00FF410E">
      <w:pPr>
        <w:jc w:val="right"/>
        <w:rPr>
          <w:rFonts w:cs="Times New Roman"/>
          <w:b/>
          <w:bCs/>
        </w:rPr>
      </w:pPr>
      <w:r w:rsidRPr="00C06AAA">
        <w:rPr>
          <w:rFonts w:cs="Times New Roman"/>
          <w:b/>
          <w:bCs/>
        </w:rPr>
        <w:t xml:space="preserve">Xie Chengyu*, Wisute Tongdecharoen, and </w:t>
      </w:r>
      <w:r w:rsidR="00FF410E" w:rsidRPr="00FF410E">
        <w:rPr>
          <w:rFonts w:cs="Times New Roman"/>
          <w:b/>
          <w:bCs/>
        </w:rPr>
        <w:t>Yurasin Wattanapayungkul</w:t>
      </w:r>
    </w:p>
    <w:p w14:paraId="7A146E9F" w14:textId="29755E3C" w:rsidR="00E92E2F" w:rsidRPr="00C06AAA" w:rsidRDefault="00000000" w:rsidP="00FF410E">
      <w:pPr>
        <w:pBdr>
          <w:bottom w:val="single" w:sz="4" w:space="1" w:color="auto"/>
        </w:pBdr>
        <w:jc w:val="right"/>
      </w:pPr>
      <w:r w:rsidRPr="00C06AAA">
        <w:rPr>
          <w:rFonts w:cs="Times New Roman"/>
        </w:rPr>
        <w:t>Faculty of Education, Bangkokthonburi University</w:t>
      </w:r>
    </w:p>
    <w:p w14:paraId="7CE4D3C7" w14:textId="77777777" w:rsidR="00E92E2F" w:rsidRPr="00C06AAA" w:rsidRDefault="00000000" w:rsidP="00044ED7">
      <w:pPr>
        <w:keepNext/>
        <w:spacing w:before="160"/>
      </w:pPr>
      <w:r w:rsidRPr="00C06AAA">
        <w:rPr>
          <w:rFonts w:cs="Times New Roman"/>
          <w:b/>
          <w:bCs/>
        </w:rPr>
        <w:t>Abstract</w:t>
      </w:r>
    </w:p>
    <w:p w14:paraId="719D6975" w14:textId="77777777" w:rsidR="00E92E2F" w:rsidRPr="00C06AAA" w:rsidRDefault="00000000" w:rsidP="00044ED7">
      <w:pPr>
        <w:spacing w:line="276" w:lineRule="auto"/>
        <w:ind w:firstLine="480"/>
        <w:jc w:val="both"/>
      </w:pPr>
      <w:r w:rsidRPr="00C06AAA">
        <w:rPr>
          <w:rFonts w:cs="Times New Roman"/>
        </w:rPr>
        <w:t>Physical education (PE) at the upper-secondary level often struggles to build sport skill and health-related fitness at the same time, because lessons are short, exercise intensity stays low, and repetitive drills dampen students’ motivation. This study developed and tested a Badminton-Specific HIIT-Based Physical Education instructional approach (B-HIIT-PE) and examined its effects on badminton skills, health-related physical fitness, and attitude toward exercise in Grade 11 students. A quasi-experimental pretest–midtest–posttest two-group design was employed. Forty students aged 16–17 years were allocated to an experimental group (n = 20) that received B-HIIT-PE and a control group (n = 20) that received conventional PE, both for eight weeks at two 50-minute sessions per week. The B-HIIT-PE program applied a 1:2 work-to-rest ratio (15 s : 30 s) at 70–90% of maximum heart rate, using badminton-specific movements such as six-point footwork, on-court stroke execution, and modified small-sided games. Data were analyzed with a 2 × 3 mixed-design ANOVA and one-way repeated-measures ANOVA with Sidak post-hoc comparisons. The program demonstrated strong quality (mean IOC = .89; test–retest ICC = .89; Cronbach’s α = .86). Significant Group × Time interactions favored the experimental group for badminton skill (η²p = .53), all five fitness components (η²p = .15–.51), and attitude toward exercise (η²p = .43), and every effect survived Benjamini–Hochberg false-discovery-rate correction. Within the experimental group, all variables improved progressively across the three measurement points (all *P &lt; .001). Because this was a single-site quasi-experimental study in which a higher-intensity experimental condition was contrasted with lower-intensity conventional PE, the findings should be read as preliminary: they suggest that a badminton-specific HIIT-based PE approach may develop skill, estimated health-related fitness, and positive attitudes together within standard class time, and warrant confirmation in multi-site randomized trials using an intensity-matched comparator.</w:t>
      </w:r>
    </w:p>
    <w:p w14:paraId="403AE40B" w14:textId="77777777" w:rsidR="0018795F" w:rsidRDefault="0018795F" w:rsidP="00044ED7">
      <w:pPr>
        <w:rPr>
          <w:rFonts w:cs="Times New Roman"/>
          <w:b/>
          <w:bCs/>
        </w:rPr>
      </w:pPr>
    </w:p>
    <w:p w14:paraId="3EE3AA8F" w14:textId="74C4E2BA" w:rsidR="00E92E2F" w:rsidRDefault="00000000" w:rsidP="00044ED7">
      <w:pPr>
        <w:rPr>
          <w:rFonts w:cs="Times New Roman"/>
        </w:rPr>
      </w:pPr>
      <w:r w:rsidRPr="00C06AAA">
        <w:rPr>
          <w:rFonts w:cs="Times New Roman"/>
          <w:b/>
          <w:bCs/>
        </w:rPr>
        <w:t xml:space="preserve">Keywords: </w:t>
      </w:r>
      <w:r w:rsidRPr="00C06AAA">
        <w:rPr>
          <w:rFonts w:cs="Times New Roman"/>
        </w:rPr>
        <w:t>badminton-specific HIIT, physical education, health-related fitness, badminton skills, attitude toward exercise</w:t>
      </w:r>
    </w:p>
    <w:p w14:paraId="22A849C1" w14:textId="77777777" w:rsidR="00C06AAA" w:rsidRDefault="00C06AAA" w:rsidP="00044ED7">
      <w:pPr>
        <w:rPr>
          <w:rFonts w:cs="Times New Roman"/>
        </w:rPr>
      </w:pPr>
    </w:p>
    <w:p w14:paraId="120AC4B8" w14:textId="77777777" w:rsidR="00C06AAA" w:rsidRDefault="00C06AAA" w:rsidP="00044ED7">
      <w:pPr>
        <w:rPr>
          <w:rFonts w:cs="Times New Roman"/>
        </w:rPr>
      </w:pPr>
    </w:p>
    <w:p w14:paraId="4F0F4D63" w14:textId="77777777" w:rsidR="00C06AAA" w:rsidRDefault="00C06AAA" w:rsidP="00044ED7">
      <w:pPr>
        <w:rPr>
          <w:rFonts w:cs="Times New Roman"/>
        </w:rPr>
      </w:pPr>
    </w:p>
    <w:p w14:paraId="6410617C" w14:textId="77777777" w:rsidR="00C06AAA" w:rsidRDefault="00C06AAA" w:rsidP="00044ED7">
      <w:pPr>
        <w:rPr>
          <w:rFonts w:cs="Times New Roman"/>
        </w:rPr>
      </w:pPr>
    </w:p>
    <w:p w14:paraId="2C633BB8" w14:textId="77777777" w:rsidR="00C06AAA" w:rsidRDefault="00C06AAA" w:rsidP="00044ED7">
      <w:pPr>
        <w:rPr>
          <w:rFonts w:cs="Times New Roman"/>
        </w:rPr>
      </w:pPr>
    </w:p>
    <w:p w14:paraId="16460911" w14:textId="77777777" w:rsidR="00C06AAA" w:rsidRDefault="00C06AAA" w:rsidP="00044ED7">
      <w:pPr>
        <w:rPr>
          <w:rFonts w:cs="Times New Roman"/>
        </w:rPr>
      </w:pPr>
    </w:p>
    <w:p w14:paraId="1AF3D49F" w14:textId="77777777" w:rsidR="00C06AAA" w:rsidRDefault="00C06AAA" w:rsidP="00044ED7">
      <w:pPr>
        <w:rPr>
          <w:rFonts w:cs="Times New Roman"/>
        </w:rPr>
      </w:pPr>
    </w:p>
    <w:p w14:paraId="3B913DE3" w14:textId="77777777" w:rsidR="00C06AAA" w:rsidRPr="00C06AAA" w:rsidRDefault="00C06AAA" w:rsidP="00044ED7">
      <w:pPr>
        <w:rPr>
          <w:rFonts w:cs="Times New Roman"/>
        </w:rPr>
      </w:pPr>
    </w:p>
    <w:p w14:paraId="09A3E69E" w14:textId="77777777" w:rsidR="00044ED7" w:rsidRPr="00C06AAA" w:rsidRDefault="00044ED7" w:rsidP="00044ED7"/>
    <w:p w14:paraId="3F130FEF" w14:textId="333E7F60" w:rsidR="00E92E2F" w:rsidRPr="00C06AAA" w:rsidRDefault="00000000" w:rsidP="00044ED7">
      <w:pPr>
        <w:pBdr>
          <w:top w:val="single" w:sz="4" w:space="1" w:color="auto"/>
        </w:pBdr>
      </w:pPr>
      <w:r w:rsidRPr="00C06AAA">
        <w:rPr>
          <w:rFonts w:cs="Times New Roman"/>
          <w:b/>
          <w:bCs/>
        </w:rPr>
        <w:t xml:space="preserve">Corresponding Author: </w:t>
      </w:r>
      <w:r w:rsidRPr="00C06AAA">
        <w:rPr>
          <w:rFonts w:cs="Times New Roman"/>
        </w:rPr>
        <w:t>Xie Chengyu, Faculty of Education, Bangkokthonburi University, Thailand. Email:</w:t>
      </w:r>
      <w:r w:rsidR="00044ED7" w:rsidRPr="00C06AAA">
        <w:rPr>
          <w:rFonts w:cs="Times New Roman" w:hint="cs"/>
          <w:cs/>
        </w:rPr>
        <w:t xml:space="preserve">  </w:t>
      </w:r>
      <w:r w:rsidR="00044ED7" w:rsidRPr="00C06AAA">
        <w:rPr>
          <w:rFonts w:cs="Times New Roman"/>
          <w:cs/>
        </w:rPr>
        <w:t>355268662</w:t>
      </w:r>
      <w:r w:rsidR="00044ED7" w:rsidRPr="00C06AAA">
        <w:rPr>
          <w:rFonts w:cs="Times New Roman"/>
        </w:rPr>
        <w:t>@qq.com</w:t>
      </w:r>
    </w:p>
    <w:p w14:paraId="7C454982" w14:textId="4DFFF46C" w:rsidR="00E92E2F" w:rsidRPr="00C06AAA" w:rsidRDefault="00000000" w:rsidP="00044ED7">
      <w:pPr>
        <w:keepNext/>
      </w:pPr>
      <w:r w:rsidRPr="00C06AAA">
        <w:rPr>
          <w:rFonts w:cs="Times New Roman"/>
          <w:b/>
          <w:bCs/>
        </w:rPr>
        <w:lastRenderedPageBreak/>
        <w:t>Introduction</w:t>
      </w:r>
    </w:p>
    <w:p w14:paraId="0921ED2D" w14:textId="13DC6E6A" w:rsidR="00E92E2F" w:rsidRPr="00C06AAA" w:rsidRDefault="00000000" w:rsidP="00044ED7">
      <w:pPr>
        <w:spacing w:line="276" w:lineRule="auto"/>
        <w:ind w:firstLine="480"/>
        <w:jc w:val="both"/>
      </w:pPr>
      <w:r w:rsidRPr="00C06AAA">
        <w:rPr>
          <w:rFonts w:cs="Times New Roman"/>
        </w:rPr>
        <w:t>Physical education in the twenty-first century is guided by the philosophy of education for lifelong physical activity, with the competency-based aim of developing physical literacy across the cognitive, affective, psychomotor, and physical-fitness domains (Whitehead, 2019; SHAPE America, 2019). Despite this curricular consensus, the global picture is sobering. Drawing on data from 146 countries, Guthold, Stevens, Riley, and Bull (2020) reported that roughly 81% of adolescents worldwide fail to meet the World Health Organization’s physical-activity guidelines</w:t>
      </w:r>
      <w:r w:rsidR="00044ED7" w:rsidRPr="00C06AAA">
        <w:rPr>
          <w:rFonts w:cs="Times New Roman"/>
        </w:rPr>
        <w:t xml:space="preserve"> </w:t>
      </w:r>
      <w:r w:rsidRPr="00C06AAA">
        <w:rPr>
          <w:rFonts w:cs="Times New Roman"/>
        </w:rPr>
        <w:t>a figure that mirrors a sustained decline in health-related fitness and in positive attitudes toward exercise among young people (WHO, 2020; Vasconcellos et al., 2020).</w:t>
      </w:r>
    </w:p>
    <w:p w14:paraId="75948EDE" w14:textId="50D92068" w:rsidR="00E92E2F" w:rsidRPr="00C06AAA" w:rsidRDefault="00000000" w:rsidP="00044ED7">
      <w:pPr>
        <w:spacing w:line="276" w:lineRule="auto"/>
        <w:ind w:firstLine="480"/>
        <w:jc w:val="both"/>
      </w:pPr>
      <w:r w:rsidRPr="00C06AAA">
        <w:rPr>
          <w:rFonts w:cs="Times New Roman"/>
        </w:rPr>
        <w:t>In the teaching of badminton at the upper-secondary level, physical educators face three structural problems that erode learning quality. First, instructional time is severely constrained: PE is typically allocated only one or two fifty-minute periods per week, an insufficient dose for developing health-related fitness and sport-specific skill at the same time (Costigan, Eather, Plotnikoff, Taaffe, &amp; Lubans, 2016; Eather, Riley, Miller, &amp; Smith, 2020). Second, the conventional approach</w:t>
      </w:r>
      <w:r w:rsidR="00044ED7" w:rsidRPr="00C06AAA">
        <w:rPr>
          <w:rFonts w:cs="Times New Roman"/>
        </w:rPr>
        <w:t xml:space="preserve"> </w:t>
      </w:r>
      <w:r w:rsidRPr="00C06AAA">
        <w:rPr>
          <w:rFonts w:cs="Times New Roman"/>
        </w:rPr>
        <w:t>teacher demonstration followed by static drills performed in a rested state</w:t>
      </w:r>
      <w:r w:rsidR="00044ED7" w:rsidRPr="00C06AAA">
        <w:rPr>
          <w:rFonts w:cs="Times New Roman"/>
        </w:rPr>
        <w:t xml:space="preserve"> </w:t>
      </w:r>
      <w:r w:rsidRPr="00C06AAA">
        <w:rPr>
          <w:rFonts w:cs="Times New Roman"/>
        </w:rPr>
        <w:t>rarely lifts students’ heart rate into the developmental zone (≥ 70% HRmax), leaving lessons “light-intensity” rather than the policy-recommended moderate-to-vigorous level (Bossi, Mesquida, Passfield, Rønnestad, &amp; Hopker, 2020). Third, repetitive and unchallenging activity formats undermine intrinsic motivation and foster negative attitudes, which are established predictors of physical inactivity in adulthood (Beltrán-Carrillo, Jiménez-Loaisa, González-Cutre, &amp; Cervelló, 2023).</w:t>
      </w:r>
    </w:p>
    <w:p w14:paraId="5F39CB57" w14:textId="77777777" w:rsidR="00E92E2F" w:rsidRPr="00C06AAA" w:rsidRDefault="00000000" w:rsidP="00044ED7">
      <w:pPr>
        <w:spacing w:line="276" w:lineRule="auto"/>
        <w:ind w:firstLine="480"/>
        <w:jc w:val="both"/>
      </w:pPr>
      <w:r w:rsidRPr="00C06AAA">
        <w:rPr>
          <w:rFonts w:cs="Times New Roman"/>
        </w:rPr>
        <w:t>High-Intensity Interval Training (HIIT) has emerged over the past decade as a time-efficient yet high-impact strategy with strong physiological, psychological, and pedagogical support. A meta-analysis of 28 adolescent studies by Engel, Hartel, Strahler, Wegner, Westmattelmann, and Schöllhorn (2018), together with the school-based review of Martin-Smith, Cox, Buchan, Baker, Grace, and Sculthorpe (2020) covering 12 trials, converge on the conclusion that HIIT improves cardiorespiratory fitness as well as or better than moderate-intensity continuous training while requiring 40–60% less time. Delgado-Floody, Latorre-Román, Jerez-Mayorga, Caamaño-Navarrete, and García-Pinillos (2019) further confirm that HIIT is safe for adolescents when it is sequenced in line with the Long-Term Athlete Development framework (Lloyd et al., 2016).</w:t>
      </w:r>
    </w:p>
    <w:p w14:paraId="473AA9A3" w14:textId="28E74087" w:rsidR="00E92E2F" w:rsidRPr="00C06AAA" w:rsidRDefault="00000000" w:rsidP="00044ED7">
      <w:pPr>
        <w:spacing w:line="276" w:lineRule="auto"/>
        <w:ind w:firstLine="480"/>
        <w:jc w:val="both"/>
      </w:pPr>
      <w:r w:rsidRPr="00C06AAA">
        <w:rPr>
          <w:rFonts w:cs="Times New Roman"/>
        </w:rPr>
        <w:t>A closer reading of the literature, however, reveals an important limitation: school-based HIIT studies have almost exclusively used non-sport-specific protocols</w:t>
      </w:r>
      <w:r w:rsidR="00044ED7" w:rsidRPr="00C06AAA">
        <w:rPr>
          <w:rFonts w:cs="Times New Roman"/>
        </w:rPr>
        <w:t xml:space="preserve"> </w:t>
      </w:r>
      <w:r w:rsidRPr="00C06AAA">
        <w:rPr>
          <w:rFonts w:cs="Times New Roman"/>
        </w:rPr>
        <w:t>repeated running, rope skipping, burpees, or jumping jacks. Although such modalities improve fitness, they remain disconnected from the sport skills students are meant to learn in PE, thereby violating the Specific Adaptation to Imposed Demands (SAID) principle of exercise physiology and the principle of specificity in motor learning (Cabello-Manrique, Lorenzo-Martínez, Lorenzo, Padial, &amp; Puga, 2022). At the same time, the few studies on Badminton-Specific HIIT have been situated almost entirely in elite or sub-elite settings</w:t>
      </w:r>
      <w:r w:rsidR="00044ED7" w:rsidRPr="00C06AAA">
        <w:rPr>
          <w:rFonts w:cs="Times New Roman"/>
        </w:rPr>
        <w:t xml:space="preserve"> </w:t>
      </w:r>
      <w:r w:rsidRPr="00C06AAA">
        <w:rPr>
          <w:rFonts w:cs="Times New Roman"/>
        </w:rPr>
        <w:t>national training centers and sports academies</w:t>
      </w:r>
      <w:r w:rsidR="00044ED7" w:rsidRPr="00C06AAA">
        <w:rPr>
          <w:rFonts w:cs="Times New Roman"/>
        </w:rPr>
        <w:t xml:space="preserve"> </w:t>
      </w:r>
      <w:r w:rsidRPr="00C06AAA">
        <w:rPr>
          <w:rFonts w:cs="Times New Roman"/>
        </w:rPr>
        <w:t>rather than the ordinary PE classroom (Fernandez-Fernandez, Zimek, Wiewelhove, &amp; Ferrauti, 2022; Wang, Zhang, &amp; Chen, 2022; Brahim, Bougatfa, &amp; Chaouachi, 2023; Zhang &amp; Chen, 2024).</w:t>
      </w:r>
    </w:p>
    <w:p w14:paraId="308AB4AC" w14:textId="77777777" w:rsidR="00E92E2F" w:rsidRPr="00C06AAA" w:rsidRDefault="00000000" w:rsidP="00044ED7">
      <w:pPr>
        <w:spacing w:line="276" w:lineRule="auto"/>
        <w:ind w:firstLine="480"/>
        <w:jc w:val="both"/>
      </w:pPr>
      <w:r w:rsidRPr="00C06AAA">
        <w:rPr>
          <w:rFonts w:cs="Times New Roman"/>
        </w:rPr>
        <w:t>Four research gaps therefore appear to remain. Evidence in general PE student populations remains limited (a population gap); few studies have demonstrated feasibility within authentic 50-minute classroom conditions (a contextual gap); skill, fitness, and attitude have rarely been assessed together within a single design (a variable gap); and prior work has often relied on two-</w:t>
      </w:r>
      <w:r w:rsidRPr="00C06AAA">
        <w:rPr>
          <w:rFonts w:cs="Times New Roman"/>
        </w:rPr>
        <w:lastRenderedPageBreak/>
        <w:t>point pre–post measurement, with few studies including a mid-test capable of capturing the trajectory of adaptation (a methodological gap). Accordingly, the present study develops and examines a Badminton-Specific HIIT-Based PE instructional approach (B-HIIT-PE) for Grade 11 students that is calibrated to real classroom conditions, safe for general students, and aligned with contemporary PE philosophy. A quasi-experimental pretest–midtest–posttest two-group design is used to generate evidence capable of informing both classroom practice and curriculum policy. The study’s conceptual framework, organized as an Input–Process–Output model, is shown in Figure 1.</w:t>
      </w:r>
    </w:p>
    <w:p w14:paraId="5441F7E2" w14:textId="77777777" w:rsidR="00E92E2F" w:rsidRPr="00C06AAA" w:rsidRDefault="00000000" w:rsidP="00044ED7">
      <w:pPr>
        <w:spacing w:before="80"/>
        <w:jc w:val="center"/>
      </w:pPr>
      <w:r w:rsidRPr="00C06AAA">
        <w:rPr>
          <w:noProof/>
        </w:rPr>
        <w:drawing>
          <wp:inline distT="0" distB="0" distL="0" distR="0" wp14:anchorId="3A732A46" wp14:editId="6F2992F9">
            <wp:extent cx="4457700" cy="1971675"/>
            <wp:effectExtent l="0" t="0" r="0" b="0"/>
            <wp:docPr id="1" name="Figure1" descr="Input-Process-Output model of the study" title="Conceptua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457700" cy="1971675"/>
                    </a:xfrm>
                    <a:prstGeom prst="rect">
                      <a:avLst/>
                    </a:prstGeom>
                  </pic:spPr>
                </pic:pic>
              </a:graphicData>
            </a:graphic>
          </wp:inline>
        </w:drawing>
      </w:r>
    </w:p>
    <w:p w14:paraId="01CF8B4C" w14:textId="77777777" w:rsidR="00E92E2F" w:rsidRPr="00C06AAA" w:rsidRDefault="00000000" w:rsidP="00044ED7">
      <w:pPr>
        <w:jc w:val="center"/>
      </w:pPr>
      <w:r w:rsidRPr="00C06AAA">
        <w:rPr>
          <w:rFonts w:cs="Times New Roman"/>
          <w:b/>
          <w:bCs/>
          <w:sz w:val="22"/>
          <w:szCs w:val="22"/>
        </w:rPr>
        <w:t xml:space="preserve">Figure 1 </w:t>
      </w:r>
      <w:r w:rsidRPr="00C06AAA">
        <w:rPr>
          <w:rFonts w:cs="Times New Roman"/>
          <w:sz w:val="22"/>
          <w:szCs w:val="22"/>
        </w:rPr>
        <w:t>Conceptual framework of the study (Input–Process–Output model). Source: authors.</w:t>
      </w:r>
    </w:p>
    <w:p w14:paraId="121F8F32" w14:textId="77777777" w:rsidR="00E92E2F" w:rsidRPr="00C06AAA" w:rsidRDefault="00000000" w:rsidP="00044ED7">
      <w:pPr>
        <w:keepNext/>
        <w:spacing w:before="160"/>
      </w:pPr>
      <w:r w:rsidRPr="00C06AAA">
        <w:rPr>
          <w:rFonts w:cs="Times New Roman"/>
          <w:b/>
          <w:bCs/>
        </w:rPr>
        <w:t>Research Objectives</w:t>
      </w:r>
    </w:p>
    <w:p w14:paraId="5FC52790" w14:textId="74D44C9A" w:rsidR="00E92E2F" w:rsidRPr="00C06AAA" w:rsidRDefault="00000000" w:rsidP="00044ED7">
      <w:pPr>
        <w:spacing w:line="276" w:lineRule="auto"/>
        <w:ind w:firstLine="480"/>
        <w:jc w:val="both"/>
      </w:pPr>
      <w:r w:rsidRPr="00C06AAA">
        <w:rPr>
          <w:rFonts w:cs="Times New Roman"/>
        </w:rPr>
        <w:t>The general objective was to examine the effects of a Badminton-Specific HIIT-Based PE instructional approach (B-HIIT-PE) on badminton skills, health-related physical fitness, and attitude toward exercise in Grade 11 students. Three specific objectives guided the study: (1) to develop and validate the B-HIIT-PE instructional model; (2) to compare the effects of B-HIIT-PE against conventional PE instruction between the experimental and control groups on the three dependent variables; and (3) to compare within-group developmental progress in the experimental group across three time points</w:t>
      </w:r>
      <w:r w:rsidR="00044ED7" w:rsidRPr="00C06AAA">
        <w:rPr>
          <w:rFonts w:cs="Times New Roman"/>
        </w:rPr>
        <w:t xml:space="preserve"> </w:t>
      </w:r>
      <w:r w:rsidRPr="00C06AAA">
        <w:rPr>
          <w:rFonts w:cs="Times New Roman"/>
        </w:rPr>
        <w:t>pretest, mid-test (Week 4), and posttest (Week 8).</w:t>
      </w:r>
    </w:p>
    <w:p w14:paraId="298BAB36" w14:textId="77777777" w:rsidR="00E92E2F" w:rsidRPr="00C06AAA" w:rsidRDefault="00000000" w:rsidP="00044ED7">
      <w:pPr>
        <w:keepNext/>
        <w:spacing w:before="160"/>
      </w:pPr>
      <w:r w:rsidRPr="00C06AAA">
        <w:rPr>
          <w:rFonts w:cs="Times New Roman"/>
          <w:b/>
          <w:bCs/>
        </w:rPr>
        <w:t>Hypotheses</w:t>
      </w:r>
    </w:p>
    <w:p w14:paraId="6E33FFAB" w14:textId="1E17BE16" w:rsidR="00E92E2F" w:rsidRPr="00C06AAA" w:rsidRDefault="00000000" w:rsidP="00044ED7">
      <w:pPr>
        <w:spacing w:line="276" w:lineRule="auto"/>
        <w:ind w:firstLine="480"/>
        <w:jc w:val="both"/>
      </w:pPr>
      <w:r w:rsidRPr="00C06AAA">
        <w:rPr>
          <w:rFonts w:cs="Times New Roman"/>
        </w:rPr>
        <w:t>Grounded in the SAID principle, Self-Determination Theory, and prior empirical evidence, four hypotheses were advanced. H1: the experimental group will show significantly higher badminton skill scores than the control group (*P &lt; .05). H2: the experimental group will achieve significantly higher health-related physical fitness</w:t>
      </w:r>
      <w:r w:rsidR="00044ED7" w:rsidRPr="00C06AAA">
        <w:rPr>
          <w:rFonts w:cs="Times New Roman"/>
        </w:rPr>
        <w:t xml:space="preserve"> </w:t>
      </w:r>
      <w:r w:rsidRPr="00C06AAA">
        <w:rPr>
          <w:rFonts w:cs="Times New Roman"/>
        </w:rPr>
        <w:t>cardiorespiratory fitness, muscular strength and endurance, flexibility, and body composition</w:t>
      </w:r>
      <w:r w:rsidR="00044ED7" w:rsidRPr="00C06AAA">
        <w:rPr>
          <w:rFonts w:cs="Times New Roman"/>
        </w:rPr>
        <w:t xml:space="preserve"> </w:t>
      </w:r>
      <w:r w:rsidRPr="00C06AAA">
        <w:rPr>
          <w:rFonts w:cs="Times New Roman"/>
        </w:rPr>
        <w:t>than the control group (*P &lt; .05). H3: the experimental group will report significantly more positive attitudes toward exercise than the control group (*P &lt; .05). H4: within the experimental group, all three dependent variables will show a statistically significant progressive trajectory across the three measurement points (Pretest &lt; Midtest &lt; Posttest, *P &lt; .05).</w:t>
      </w:r>
    </w:p>
    <w:p w14:paraId="5BE44725" w14:textId="77777777" w:rsidR="00E92E2F" w:rsidRPr="00C06AAA" w:rsidRDefault="00000000" w:rsidP="00044ED7">
      <w:pPr>
        <w:keepNext/>
        <w:spacing w:before="160"/>
      </w:pPr>
      <w:r w:rsidRPr="00C06AAA">
        <w:rPr>
          <w:rFonts w:cs="Times New Roman"/>
          <w:b/>
          <w:bCs/>
        </w:rPr>
        <w:t>Research Methods</w:t>
      </w:r>
    </w:p>
    <w:p w14:paraId="5F8A323A" w14:textId="77777777" w:rsidR="00E92E2F" w:rsidRPr="00C06AAA" w:rsidRDefault="00000000" w:rsidP="00044ED7">
      <w:pPr>
        <w:spacing w:line="276" w:lineRule="auto"/>
        <w:ind w:firstLine="480"/>
        <w:jc w:val="both"/>
      </w:pPr>
      <w:r w:rsidRPr="00C06AAA">
        <w:rPr>
          <w:rFonts w:cs="Times New Roman"/>
          <w:b/>
          <w:bCs/>
        </w:rPr>
        <w:t xml:space="preserve">Research design. </w:t>
      </w:r>
      <w:r w:rsidRPr="00C06AAA">
        <w:rPr>
          <w:rFonts w:cs="Times New Roman"/>
        </w:rPr>
        <w:t xml:space="preserve">The study used a quantitative quasi-experimental design with a pretest–midtest–posttest two-group structure. A quasi-experimental rather than a fully randomized design was chosen because of practical constraints in authentic school settings: the need to preserve intact classes, the risk of treatment diffusion if experimental and control students shared a room, and ethical concerns about individually randomizing students during compulsory class periods (Eather </w:t>
      </w:r>
      <w:r w:rsidRPr="00C06AAA">
        <w:rPr>
          <w:rFonts w:cs="Times New Roman"/>
        </w:rPr>
        <w:lastRenderedPageBreak/>
        <w:t>et al., 2020; Costigan et al., 2016). To protect internal validity, the investigators used matched-pair allocation at the class level (matched on pre-intervention fitness and skill means), ran both conditions concurrently within the same semester, used a single trained instructor, and applied single-blind assessor protocols.</w:t>
      </w:r>
    </w:p>
    <w:p w14:paraId="53B5C877" w14:textId="77777777" w:rsidR="00E92E2F" w:rsidRPr="00C06AAA" w:rsidRDefault="00000000" w:rsidP="00044ED7">
      <w:pPr>
        <w:spacing w:line="276" w:lineRule="auto"/>
        <w:ind w:firstLine="480"/>
        <w:jc w:val="both"/>
      </w:pPr>
      <w:r w:rsidRPr="00C06AAA">
        <w:rPr>
          <w:rFonts w:cs="Times New Roman"/>
          <w:b/>
          <w:bCs/>
        </w:rPr>
        <w:t xml:space="preserve">Ethics. </w:t>
      </w:r>
      <w:r w:rsidRPr="00C06AAA">
        <w:rPr>
          <w:rFonts w:cs="Times New Roman"/>
        </w:rPr>
        <w:t>Because the study involved minors aged 16–17 years, it adhered to the Declaration of Helsinki and the Belmont Report. The protocol received ethical approval from the Committee for Research Ethics (Social Sciences), Bangkokthonburi University (BTUIRB No. 2569/298). Written parental consent and student assent were obtained, all participants were screened with the PAR-Q+, and every session was supervised by a PE teacher certified in basic life support.</w:t>
      </w:r>
    </w:p>
    <w:p w14:paraId="7FD85E8F" w14:textId="77777777" w:rsidR="00E92E2F" w:rsidRPr="00C06AAA" w:rsidRDefault="00000000" w:rsidP="00044ED7">
      <w:pPr>
        <w:spacing w:line="276" w:lineRule="auto"/>
        <w:ind w:firstLine="480"/>
        <w:jc w:val="both"/>
      </w:pPr>
      <w:r w:rsidRPr="00C06AAA">
        <w:rPr>
          <w:rFonts w:cs="Times New Roman"/>
          <w:b/>
          <w:bCs/>
        </w:rPr>
        <w:t xml:space="preserve">Participants. </w:t>
      </w:r>
      <w:r w:rsidRPr="00C06AAA">
        <w:rPr>
          <w:rFonts w:cs="Times New Roman"/>
        </w:rPr>
        <w:t>The reference population comprised Grade 11 students aged 16–17 years enrolled in the first semester of the 2026 academic year, most of whom occupy the post-peak-height-velocity developmental phase. Forty participants were recruited through purposive sampling of a qualifying school followed by simple random sampling, and were then allocated by matched-pair assignment to the experimental group (n = 20) and the control group (n = 20). Sample size was determined a priori with G*Power 3.1.9.7 (F-test, repeated-measures ANOVA, within-between interaction, effect size f = .25, α = .05, 1 − β = .80), which required a minimum of 34 participants; 15% was added to allow for attrition.</w:t>
      </w:r>
    </w:p>
    <w:p w14:paraId="2AB09248" w14:textId="77777777" w:rsidR="00E92E2F" w:rsidRPr="00C06AAA" w:rsidRDefault="00000000" w:rsidP="00044ED7">
      <w:pPr>
        <w:spacing w:line="276" w:lineRule="auto"/>
        <w:ind w:firstLine="480"/>
        <w:jc w:val="both"/>
      </w:pPr>
      <w:r w:rsidRPr="00C06AAA">
        <w:rPr>
          <w:rFonts w:cs="Times New Roman"/>
          <w:b/>
          <w:bCs/>
        </w:rPr>
        <w:t xml:space="preserve">Intervention. </w:t>
      </w:r>
      <w:r w:rsidRPr="00C06AAA">
        <w:rPr>
          <w:rFonts w:cs="Times New Roman"/>
        </w:rPr>
        <w:t>The B-HIIT-PE program spanned eight weeks delivered as two 50-minute sessions per week (16 lessons). Each lesson comprised a 10-minute warm-up, a 25–30-minute B-HIIT main set of badminton-specific tasks (six-point footwork, on-court clears, drops, drives, and smashes, and modified small-sided games), and a 10-minute cool-down with reflection. The main set used a 1:2 work-to-rest ratio (15 s : 30 s), with intensity rising from 70–80% HRmax in Weeks 1–2 to 80–90% HRmax in Weeks 3–8, regulated with Polar H10 heart-rate monitors. The control group received a conventional badminton program matched for duration and dose (demonstration and rested-state drills), which was reviewed by the same expert panel to avoid a straw-man comparison. The eight-week periodization of the experimental program is summarized in Table 1.</w:t>
      </w:r>
    </w:p>
    <w:p w14:paraId="52E89112" w14:textId="77777777" w:rsidR="00E92E2F" w:rsidRPr="00C06AAA" w:rsidRDefault="00000000" w:rsidP="00044ED7">
      <w:pPr>
        <w:keepNext/>
        <w:spacing w:before="160"/>
      </w:pPr>
      <w:r w:rsidRPr="00C06AAA">
        <w:rPr>
          <w:rFonts w:cs="Times New Roman"/>
          <w:b/>
          <w:bCs/>
        </w:rPr>
        <w:t>Table 1</w:t>
      </w:r>
      <w:r w:rsidRPr="00C06AAA">
        <w:rPr>
          <w:rFonts w:cs="Times New Roman"/>
        </w:rPr>
        <w:t xml:space="preserve"> Eight-Week Periodization of the B-HIIT-PE Program</w:t>
      </w:r>
    </w:p>
    <w:tbl>
      <w:tblPr>
        <w:tblW w:w="93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1400"/>
        <w:gridCol w:w="2600"/>
        <w:gridCol w:w="2800"/>
        <w:gridCol w:w="1400"/>
        <w:gridCol w:w="1114"/>
      </w:tblGrid>
      <w:tr w:rsidR="00E92E2F" w:rsidRPr="00C06AAA" w14:paraId="561C7A87" w14:textId="77777777">
        <w:trPr>
          <w:tblHeader/>
        </w:trPr>
        <w:tc>
          <w:tcPr>
            <w:tcW w:w="140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3F12533B" w14:textId="77777777" w:rsidR="00E92E2F" w:rsidRPr="00C06AAA" w:rsidRDefault="00000000" w:rsidP="00044ED7">
            <w:pPr>
              <w:jc w:val="center"/>
            </w:pPr>
            <w:r w:rsidRPr="00C06AAA">
              <w:rPr>
                <w:rFonts w:cs="Times New Roman"/>
                <w:b/>
                <w:bCs/>
                <w:sz w:val="22"/>
                <w:szCs w:val="22"/>
              </w:rPr>
              <w:t>Week</w:t>
            </w:r>
          </w:p>
        </w:tc>
        <w:tc>
          <w:tcPr>
            <w:tcW w:w="260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3D0FC34B" w14:textId="77777777" w:rsidR="00E92E2F" w:rsidRPr="00C06AAA" w:rsidRDefault="00000000" w:rsidP="00044ED7">
            <w:pPr>
              <w:jc w:val="center"/>
            </w:pPr>
            <w:r w:rsidRPr="00C06AAA">
              <w:rPr>
                <w:rFonts w:cs="Times New Roman"/>
                <w:b/>
                <w:bCs/>
                <w:sz w:val="22"/>
                <w:szCs w:val="22"/>
              </w:rPr>
              <w:t>Learning phase</w:t>
            </w:r>
          </w:p>
        </w:tc>
        <w:tc>
          <w:tcPr>
            <w:tcW w:w="280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20C3EB51" w14:textId="77777777" w:rsidR="00E92E2F" w:rsidRPr="00C06AAA" w:rsidRDefault="00000000" w:rsidP="00044ED7">
            <w:pPr>
              <w:jc w:val="center"/>
            </w:pPr>
            <w:r w:rsidRPr="00C06AAA">
              <w:rPr>
                <w:rFonts w:cs="Times New Roman"/>
                <w:b/>
                <w:bCs/>
                <w:sz w:val="22"/>
                <w:szCs w:val="22"/>
              </w:rPr>
              <w:t>Featured skills</w:t>
            </w:r>
          </w:p>
        </w:tc>
        <w:tc>
          <w:tcPr>
            <w:tcW w:w="140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17273874" w14:textId="77777777" w:rsidR="00E92E2F" w:rsidRPr="00C06AAA" w:rsidRDefault="00000000" w:rsidP="00044ED7">
            <w:pPr>
              <w:jc w:val="center"/>
            </w:pPr>
            <w:r w:rsidRPr="00C06AAA">
              <w:rPr>
                <w:rFonts w:cs="Times New Roman"/>
                <w:b/>
                <w:bCs/>
                <w:sz w:val="22"/>
                <w:szCs w:val="22"/>
              </w:rPr>
              <w:t>% HRmax</w:t>
            </w:r>
          </w:p>
        </w:tc>
        <w:tc>
          <w:tcPr>
            <w:tcW w:w="1114"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56AD6C31" w14:textId="77777777" w:rsidR="00E92E2F" w:rsidRPr="00C06AAA" w:rsidRDefault="00000000" w:rsidP="00044ED7">
            <w:pPr>
              <w:jc w:val="center"/>
            </w:pPr>
            <w:r w:rsidRPr="00C06AAA">
              <w:rPr>
                <w:rFonts w:cs="Times New Roman"/>
                <w:b/>
                <w:bCs/>
                <w:sz w:val="22"/>
                <w:szCs w:val="22"/>
              </w:rPr>
              <w:t>Work : Rest</w:t>
            </w:r>
          </w:p>
        </w:tc>
      </w:tr>
      <w:tr w:rsidR="00E92E2F" w:rsidRPr="00C06AAA" w14:paraId="05D6F7B4" w14:textId="77777777">
        <w:tc>
          <w:tcPr>
            <w:tcW w:w="1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D956802" w14:textId="77777777" w:rsidR="00E92E2F" w:rsidRPr="00C06AAA" w:rsidRDefault="00000000" w:rsidP="00044ED7">
            <w:r w:rsidRPr="00C06AAA">
              <w:rPr>
                <w:rFonts w:cs="Times New Roman"/>
                <w:sz w:val="22"/>
                <w:szCs w:val="22"/>
              </w:rPr>
              <w:t>1–2</w:t>
            </w:r>
          </w:p>
        </w:tc>
        <w:tc>
          <w:tcPr>
            <w:tcW w:w="26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7C3DBD6" w14:textId="77777777" w:rsidR="00E92E2F" w:rsidRPr="00C06AAA" w:rsidRDefault="00000000" w:rsidP="00044ED7">
            <w:pPr>
              <w:jc w:val="center"/>
            </w:pPr>
            <w:r w:rsidRPr="00C06AAA">
              <w:rPr>
                <w:rFonts w:cs="Times New Roman"/>
                <w:sz w:val="22"/>
                <w:szCs w:val="22"/>
              </w:rPr>
              <w:t>Acclimatization</w:t>
            </w:r>
          </w:p>
        </w:tc>
        <w:tc>
          <w:tcPr>
            <w:tcW w:w="28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FD562AD" w14:textId="77777777" w:rsidR="00E92E2F" w:rsidRPr="00C06AAA" w:rsidRDefault="00000000" w:rsidP="00044ED7">
            <w:pPr>
              <w:jc w:val="center"/>
            </w:pPr>
            <w:r w:rsidRPr="00C06AAA">
              <w:rPr>
                <w:rFonts w:cs="Times New Roman"/>
                <w:sz w:val="22"/>
                <w:szCs w:val="22"/>
              </w:rPr>
              <w:t>Basic footwork, service</w:t>
            </w:r>
          </w:p>
        </w:tc>
        <w:tc>
          <w:tcPr>
            <w:tcW w:w="1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837810E" w14:textId="77777777" w:rsidR="00E92E2F" w:rsidRPr="00C06AAA" w:rsidRDefault="00000000" w:rsidP="00044ED7">
            <w:pPr>
              <w:jc w:val="center"/>
            </w:pPr>
            <w:r w:rsidRPr="00C06AAA">
              <w:rPr>
                <w:rFonts w:cs="Times New Roman"/>
                <w:sz w:val="22"/>
                <w:szCs w:val="22"/>
              </w:rPr>
              <w:t>70–80</w:t>
            </w:r>
          </w:p>
        </w:tc>
        <w:tc>
          <w:tcPr>
            <w:tcW w:w="11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45ED9D1" w14:textId="77777777" w:rsidR="00E92E2F" w:rsidRPr="00C06AAA" w:rsidRDefault="00000000" w:rsidP="00044ED7">
            <w:pPr>
              <w:jc w:val="center"/>
            </w:pPr>
            <w:r w:rsidRPr="00C06AAA">
              <w:rPr>
                <w:rFonts w:cs="Times New Roman"/>
                <w:sz w:val="22"/>
                <w:szCs w:val="22"/>
              </w:rPr>
              <w:t>15 s : 30 s</w:t>
            </w:r>
          </w:p>
        </w:tc>
      </w:tr>
      <w:tr w:rsidR="00E92E2F" w:rsidRPr="00C06AAA" w14:paraId="45BCF296" w14:textId="77777777">
        <w:tc>
          <w:tcPr>
            <w:tcW w:w="1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2E96087" w14:textId="77777777" w:rsidR="00E92E2F" w:rsidRPr="00C06AAA" w:rsidRDefault="00000000" w:rsidP="00044ED7">
            <w:r w:rsidRPr="00C06AAA">
              <w:rPr>
                <w:rFonts w:cs="Times New Roman"/>
                <w:sz w:val="22"/>
                <w:szCs w:val="22"/>
              </w:rPr>
              <w:t>3–4</w:t>
            </w:r>
          </w:p>
        </w:tc>
        <w:tc>
          <w:tcPr>
            <w:tcW w:w="26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E28CDFE" w14:textId="77777777" w:rsidR="00E92E2F" w:rsidRPr="00C06AAA" w:rsidRDefault="00000000" w:rsidP="00044ED7">
            <w:pPr>
              <w:jc w:val="center"/>
            </w:pPr>
            <w:r w:rsidRPr="00C06AAA">
              <w:rPr>
                <w:rFonts w:cs="Times New Roman"/>
                <w:sz w:val="22"/>
                <w:szCs w:val="22"/>
              </w:rPr>
              <w:t>Skill foundation</w:t>
            </w:r>
          </w:p>
        </w:tc>
        <w:tc>
          <w:tcPr>
            <w:tcW w:w="28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E7376E5" w14:textId="77777777" w:rsidR="00E92E2F" w:rsidRPr="00C06AAA" w:rsidRDefault="00000000" w:rsidP="00044ED7">
            <w:pPr>
              <w:jc w:val="center"/>
            </w:pPr>
            <w:r w:rsidRPr="00C06AAA">
              <w:rPr>
                <w:rFonts w:cs="Times New Roman"/>
                <w:sz w:val="22"/>
                <w:szCs w:val="22"/>
              </w:rPr>
              <w:t>Clear, drive</w:t>
            </w:r>
          </w:p>
        </w:tc>
        <w:tc>
          <w:tcPr>
            <w:tcW w:w="1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EA4FF24" w14:textId="77777777" w:rsidR="00E92E2F" w:rsidRPr="00C06AAA" w:rsidRDefault="00000000" w:rsidP="00044ED7">
            <w:pPr>
              <w:jc w:val="center"/>
            </w:pPr>
            <w:r w:rsidRPr="00C06AAA">
              <w:rPr>
                <w:rFonts w:cs="Times New Roman"/>
                <w:sz w:val="22"/>
                <w:szCs w:val="22"/>
              </w:rPr>
              <w:t>80–85</w:t>
            </w:r>
          </w:p>
        </w:tc>
        <w:tc>
          <w:tcPr>
            <w:tcW w:w="11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ADCDAA6" w14:textId="77777777" w:rsidR="00E92E2F" w:rsidRPr="00C06AAA" w:rsidRDefault="00000000" w:rsidP="00044ED7">
            <w:pPr>
              <w:jc w:val="center"/>
            </w:pPr>
            <w:r w:rsidRPr="00C06AAA">
              <w:rPr>
                <w:rFonts w:cs="Times New Roman"/>
                <w:sz w:val="22"/>
                <w:szCs w:val="22"/>
              </w:rPr>
              <w:t>15 s : 30 s</w:t>
            </w:r>
          </w:p>
        </w:tc>
      </w:tr>
      <w:tr w:rsidR="00E92E2F" w:rsidRPr="00C06AAA" w14:paraId="02A20559" w14:textId="77777777">
        <w:tc>
          <w:tcPr>
            <w:tcW w:w="1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CB34DFD" w14:textId="77777777" w:rsidR="00E92E2F" w:rsidRPr="00C06AAA" w:rsidRDefault="00000000" w:rsidP="00044ED7">
            <w:r w:rsidRPr="00C06AAA">
              <w:rPr>
                <w:rFonts w:cs="Times New Roman"/>
                <w:sz w:val="22"/>
                <w:szCs w:val="22"/>
              </w:rPr>
              <w:t>5–6</w:t>
            </w:r>
          </w:p>
        </w:tc>
        <w:tc>
          <w:tcPr>
            <w:tcW w:w="26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5C3D987" w14:textId="77777777" w:rsidR="00E92E2F" w:rsidRPr="00C06AAA" w:rsidRDefault="00000000" w:rsidP="00044ED7">
            <w:pPr>
              <w:jc w:val="center"/>
            </w:pPr>
            <w:r w:rsidRPr="00C06AAA">
              <w:rPr>
                <w:rFonts w:cs="Times New Roman"/>
                <w:sz w:val="22"/>
                <w:szCs w:val="22"/>
              </w:rPr>
              <w:t>Skill integration</w:t>
            </w:r>
          </w:p>
        </w:tc>
        <w:tc>
          <w:tcPr>
            <w:tcW w:w="28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57CB1D6" w14:textId="77777777" w:rsidR="00E92E2F" w:rsidRPr="00C06AAA" w:rsidRDefault="00000000" w:rsidP="00044ED7">
            <w:pPr>
              <w:jc w:val="center"/>
            </w:pPr>
            <w:r w:rsidRPr="00C06AAA">
              <w:rPr>
                <w:rFonts w:cs="Times New Roman"/>
                <w:sz w:val="22"/>
                <w:szCs w:val="22"/>
              </w:rPr>
              <w:t>Drop, net shot</w:t>
            </w:r>
          </w:p>
        </w:tc>
        <w:tc>
          <w:tcPr>
            <w:tcW w:w="1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BBF3582" w14:textId="77777777" w:rsidR="00E92E2F" w:rsidRPr="00C06AAA" w:rsidRDefault="00000000" w:rsidP="00044ED7">
            <w:pPr>
              <w:jc w:val="center"/>
            </w:pPr>
            <w:r w:rsidRPr="00C06AAA">
              <w:rPr>
                <w:rFonts w:cs="Times New Roman"/>
                <w:sz w:val="22"/>
                <w:szCs w:val="22"/>
              </w:rPr>
              <w:t>85–90</w:t>
            </w:r>
          </w:p>
        </w:tc>
        <w:tc>
          <w:tcPr>
            <w:tcW w:w="11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174A31A" w14:textId="77777777" w:rsidR="00E92E2F" w:rsidRPr="00C06AAA" w:rsidRDefault="00000000" w:rsidP="00044ED7">
            <w:pPr>
              <w:jc w:val="center"/>
            </w:pPr>
            <w:r w:rsidRPr="00C06AAA">
              <w:rPr>
                <w:rFonts w:cs="Times New Roman"/>
                <w:sz w:val="22"/>
                <w:szCs w:val="22"/>
              </w:rPr>
              <w:t>15 s : 30 s</w:t>
            </w:r>
          </w:p>
        </w:tc>
      </w:tr>
      <w:tr w:rsidR="00E92E2F" w:rsidRPr="00C06AAA" w14:paraId="3D7E529E" w14:textId="77777777">
        <w:tc>
          <w:tcPr>
            <w:tcW w:w="140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1CB3E633" w14:textId="77777777" w:rsidR="00E92E2F" w:rsidRPr="00C06AAA" w:rsidRDefault="00000000" w:rsidP="00044ED7">
            <w:r w:rsidRPr="00C06AAA">
              <w:rPr>
                <w:rFonts w:cs="Times New Roman"/>
                <w:sz w:val="22"/>
                <w:szCs w:val="22"/>
              </w:rPr>
              <w:t>7–8</w:t>
            </w:r>
          </w:p>
        </w:tc>
        <w:tc>
          <w:tcPr>
            <w:tcW w:w="260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3C92F537" w14:textId="77777777" w:rsidR="00E92E2F" w:rsidRPr="00C06AAA" w:rsidRDefault="00000000" w:rsidP="00044ED7">
            <w:pPr>
              <w:jc w:val="center"/>
            </w:pPr>
            <w:r w:rsidRPr="00C06AAA">
              <w:rPr>
                <w:rFonts w:cs="Times New Roman"/>
                <w:sz w:val="22"/>
                <w:szCs w:val="22"/>
              </w:rPr>
              <w:t>Skill application (SSG)</w:t>
            </w:r>
          </w:p>
        </w:tc>
        <w:tc>
          <w:tcPr>
            <w:tcW w:w="280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6CD622C8" w14:textId="77777777" w:rsidR="00E92E2F" w:rsidRPr="00C06AAA" w:rsidRDefault="00000000" w:rsidP="00044ED7">
            <w:pPr>
              <w:jc w:val="center"/>
            </w:pPr>
            <w:r w:rsidRPr="00C06AAA">
              <w:rPr>
                <w:rFonts w:cs="Times New Roman"/>
                <w:sz w:val="22"/>
                <w:szCs w:val="22"/>
              </w:rPr>
              <w:t>Smash + 1v1 small-sided games</w:t>
            </w:r>
          </w:p>
        </w:tc>
        <w:tc>
          <w:tcPr>
            <w:tcW w:w="140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6E0150C2" w14:textId="77777777" w:rsidR="00E92E2F" w:rsidRPr="00C06AAA" w:rsidRDefault="00000000" w:rsidP="00044ED7">
            <w:pPr>
              <w:jc w:val="center"/>
            </w:pPr>
            <w:r w:rsidRPr="00C06AAA">
              <w:rPr>
                <w:rFonts w:cs="Times New Roman"/>
                <w:sz w:val="22"/>
                <w:szCs w:val="22"/>
              </w:rPr>
              <w:t>85–90</w:t>
            </w:r>
          </w:p>
        </w:tc>
        <w:tc>
          <w:tcPr>
            <w:tcW w:w="1114"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4384174A" w14:textId="77777777" w:rsidR="00E92E2F" w:rsidRPr="00C06AAA" w:rsidRDefault="00000000" w:rsidP="00044ED7">
            <w:pPr>
              <w:jc w:val="center"/>
            </w:pPr>
            <w:r w:rsidRPr="00C06AAA">
              <w:rPr>
                <w:rFonts w:cs="Times New Roman"/>
                <w:sz w:val="22"/>
                <w:szCs w:val="22"/>
              </w:rPr>
              <w:t>20 s : 30 s</w:t>
            </w:r>
          </w:p>
        </w:tc>
      </w:tr>
    </w:tbl>
    <w:p w14:paraId="32343DFB" w14:textId="77777777" w:rsidR="00E92E2F" w:rsidRPr="00C06AAA" w:rsidRDefault="00000000" w:rsidP="00044ED7">
      <w:pPr>
        <w:spacing w:before="40"/>
      </w:pPr>
      <w:r w:rsidRPr="00C06AAA">
        <w:rPr>
          <w:rFonts w:cs="Times New Roman"/>
          <w:i/>
          <w:iCs/>
          <w:sz w:val="22"/>
          <w:szCs w:val="22"/>
        </w:rPr>
        <w:t>Note. HRmax = maximum heart rate; SSG = small-sided games. Each 50-minute lesson comprised a 10-minute warm-up, a 25–30-minute B-HIIT main set, and a 10-minute cool-down with reflection.</w:t>
      </w:r>
    </w:p>
    <w:p w14:paraId="193AA412" w14:textId="51B65BE7" w:rsidR="00E92E2F" w:rsidRPr="00C06AAA" w:rsidRDefault="00000000" w:rsidP="00044ED7">
      <w:pPr>
        <w:spacing w:line="276" w:lineRule="auto"/>
        <w:ind w:firstLine="480"/>
        <w:jc w:val="both"/>
      </w:pPr>
      <w:r w:rsidRPr="00C06AAA">
        <w:rPr>
          <w:rFonts w:cs="Times New Roman"/>
          <w:b/>
          <w:bCs/>
        </w:rPr>
        <w:t xml:space="preserve">Instruments. </w:t>
      </w:r>
      <w:r w:rsidRPr="00C06AAA">
        <w:rPr>
          <w:rFonts w:cs="Times New Roman"/>
        </w:rPr>
        <w:t>Badminton skill was assessed with three established tests</w:t>
      </w:r>
      <w:r w:rsidR="00044ED7" w:rsidRPr="00C06AAA">
        <w:rPr>
          <w:rFonts w:cs="Times New Roman"/>
        </w:rPr>
        <w:t xml:space="preserve"> </w:t>
      </w:r>
      <w:r w:rsidRPr="00C06AAA">
        <w:rPr>
          <w:rFonts w:cs="Times New Roman"/>
        </w:rPr>
        <w:t>Poole’s Forehand Clear Test, the French Short Service Test, and a Modified Smash Accuracy Test</w:t>
      </w:r>
      <w:r w:rsidR="00044ED7" w:rsidRPr="00C06AAA">
        <w:rPr>
          <w:rFonts w:cs="Times New Roman"/>
        </w:rPr>
        <w:t xml:space="preserve"> </w:t>
      </w:r>
      <w:r w:rsidRPr="00C06AAA">
        <w:rPr>
          <w:rFonts w:cs="Times New Roman"/>
        </w:rPr>
        <w:t xml:space="preserve">each scored 0–100, drawing on protocols updated by Phomsoupha and Laffaye (2020) and Cabello-Manrique et al. (2022). Health-related fitness was measured with a FITNESSGRAM battery aligned with the Thai Department of Physical Education standards (2019): the 20-m PACER for estimated cardiorespiratory fitness (estimated VO₂max, not directly measured), curl-up and push-up for muscular endurance, sit-and-reach for flexibility, and body mass index (BMI) as a proxy for body </w:t>
      </w:r>
      <w:r w:rsidRPr="00C06AAA">
        <w:rPr>
          <w:rFonts w:cs="Times New Roman"/>
        </w:rPr>
        <w:lastRenderedPageBreak/>
        <w:t>composition. Attitude toward exercise was captured with a 24-item, five-point Likert questionnaire adapted from Mercier, Phillips, and Silverman (2016), spanning cognitive, affective, and behavioral-intention components. Program quality was established through content validity (Index of Item-Objective Congruence, IOC, with three experts) and a try-out with a pilot group, with reliability indexed by the intraclass correlation coefficient (ICC), Cronbach’s α, and Cohen’s κ. Construct validity of the attitude questionnaire was further examined by exploratory factor analysis (EFA) in the pilot phase, which yielded the three expected factors (cognitive, affective, behavioral intention) with all item loadings ≥ .50 and 62.40% of variance explained.</w:t>
      </w:r>
    </w:p>
    <w:p w14:paraId="79B510DD" w14:textId="77777777" w:rsidR="00E92E2F" w:rsidRPr="00C06AAA" w:rsidRDefault="00000000" w:rsidP="00044ED7">
      <w:pPr>
        <w:spacing w:line="276" w:lineRule="auto"/>
        <w:ind w:firstLine="480"/>
        <w:jc w:val="both"/>
      </w:pPr>
      <w:r w:rsidRPr="00C06AAA">
        <w:rPr>
          <w:rFonts w:cs="Times New Roman"/>
          <w:b/>
          <w:bCs/>
        </w:rPr>
        <w:t xml:space="preserve">Data analysis. </w:t>
      </w:r>
      <w:r w:rsidRPr="00C06AAA">
        <w:rPr>
          <w:rFonts w:cs="Times New Roman"/>
        </w:rPr>
        <w:t>Analyses were conducted in IBM SPSS Statistics 29 and cross-checked in Jamovi 2.4, with significance set at α = .05. After descriptive statistics and assumption testing (Shapiro–Wilk, Levene, and Mauchly), baseline equivalence was confirmed with independent-samples t-tests. The between-group hypotheses (H1–H3) were tested with a 2 × 3 mixed-design ANOVA focusing on the Group × Time interaction, with partial eta-squared (η²p) and 95% confidence intervals reported and family-wise error controlled by the Benjamini–Hochberg false-discovery-rate (FDR) procedure at q = .05. The within-group trajectory (H4) was tested with one-way repeated-measures ANOVA and Sidak-corrected pairwise comparisons. The same FDR control was applied across the seven within-group tests of the H4 family. The five-point Likert attitude scores were treated as interval data at the composite level, consistent with common practice for multi-item summated scales; this assumption is acknowledged as a limitation. As a sensitivity analysis, an ANCOVA with the pretest as covariate was also run for each outcome, and it reproduced the direction and significance of every interaction reported below.</w:t>
      </w:r>
    </w:p>
    <w:p w14:paraId="3254F5AF" w14:textId="77777777" w:rsidR="00E92E2F" w:rsidRPr="00C06AAA" w:rsidRDefault="00000000" w:rsidP="00044ED7">
      <w:pPr>
        <w:keepNext/>
        <w:spacing w:before="160"/>
      </w:pPr>
      <w:r w:rsidRPr="00C06AAA">
        <w:rPr>
          <w:rFonts w:cs="Times New Roman"/>
          <w:b/>
          <w:bCs/>
        </w:rPr>
        <w:t>Research Results</w:t>
      </w:r>
    </w:p>
    <w:p w14:paraId="0061F6BF" w14:textId="77777777" w:rsidR="00E92E2F" w:rsidRPr="00C06AAA" w:rsidRDefault="00000000" w:rsidP="00044ED7">
      <w:pPr>
        <w:spacing w:line="276" w:lineRule="auto"/>
        <w:ind w:firstLine="480"/>
        <w:jc w:val="both"/>
      </w:pPr>
      <w:r w:rsidRPr="00C06AAA">
        <w:rPr>
          <w:rFonts w:cs="Times New Roman"/>
          <w:b/>
          <w:bCs/>
        </w:rPr>
        <w:t xml:space="preserve">Baseline equivalence and program quality. </w:t>
      </w:r>
      <w:r w:rsidRPr="00C06AAA">
        <w:rPr>
          <w:rFonts w:cs="Times New Roman"/>
        </w:rPr>
        <w:t>Retention was high, with mean absence below 10% in both groups. The two groups did not differ significantly on any baseline characteristic or pretest measure (all P &gt; .05; all Cohen’s d &lt; .20), confirming baseline equivalence and removing the need for ANCOVA (Table 2). The B-HIIT-PE model met all quality criteria, summarized in Table 3: a grand-mean IOC of .89 across 128 items, a test–retest ICC of .89 for the program, skill-test ICCs of .82–.87, a five-test FITNESSGRAM ICC of .88, a total attitude-questionnaire Cronbach’s α of .86, and inter-rater agreement of Cohen’s κ = .88 (almost perfect). These figures satisfy the thresholds recommended by Koo and Li (2016) and Nunnally and Bernstein (1994), confirming that Objective 1 was met.</w:t>
      </w:r>
    </w:p>
    <w:p w14:paraId="4943AB64" w14:textId="77777777" w:rsidR="00E92E2F" w:rsidRPr="00C06AAA" w:rsidRDefault="00000000" w:rsidP="00044ED7">
      <w:pPr>
        <w:keepNext/>
        <w:spacing w:before="160"/>
      </w:pPr>
      <w:r w:rsidRPr="00C06AAA">
        <w:rPr>
          <w:rFonts w:cs="Times New Roman"/>
          <w:b/>
          <w:bCs/>
        </w:rPr>
        <w:t>Table 2</w:t>
      </w:r>
      <w:r w:rsidRPr="00C06AAA">
        <w:rPr>
          <w:rFonts w:cs="Times New Roman"/>
        </w:rPr>
        <w:t xml:space="preserve"> Baseline Characteristics and Pretest Equivalence between Groups (M ± SD)</w:t>
      </w:r>
    </w:p>
    <w:tbl>
      <w:tblPr>
        <w:tblW w:w="93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200"/>
        <w:gridCol w:w="2100"/>
        <w:gridCol w:w="2100"/>
        <w:gridCol w:w="1914"/>
      </w:tblGrid>
      <w:tr w:rsidR="00E92E2F" w:rsidRPr="00C06AAA" w14:paraId="0E32105E" w14:textId="77777777">
        <w:trPr>
          <w:tblHeader/>
        </w:trPr>
        <w:tc>
          <w:tcPr>
            <w:tcW w:w="320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44130966" w14:textId="77777777" w:rsidR="00E92E2F" w:rsidRPr="00C06AAA" w:rsidRDefault="00000000" w:rsidP="00044ED7">
            <w:pPr>
              <w:jc w:val="center"/>
            </w:pPr>
            <w:r w:rsidRPr="00C06AAA">
              <w:rPr>
                <w:rFonts w:cs="Times New Roman"/>
                <w:b/>
                <w:bCs/>
                <w:sz w:val="22"/>
                <w:szCs w:val="22"/>
              </w:rPr>
              <w:t>Variable</w:t>
            </w:r>
          </w:p>
        </w:tc>
        <w:tc>
          <w:tcPr>
            <w:tcW w:w="210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295C6FC3" w14:textId="77777777" w:rsidR="00E92E2F" w:rsidRPr="00C06AAA" w:rsidRDefault="00000000" w:rsidP="00044ED7">
            <w:pPr>
              <w:jc w:val="center"/>
            </w:pPr>
            <w:r w:rsidRPr="00C06AAA">
              <w:rPr>
                <w:rFonts w:cs="Times New Roman"/>
                <w:b/>
                <w:bCs/>
                <w:sz w:val="22"/>
                <w:szCs w:val="22"/>
              </w:rPr>
              <w:t>Experimental (n = 20)</w:t>
            </w:r>
          </w:p>
        </w:tc>
        <w:tc>
          <w:tcPr>
            <w:tcW w:w="210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5A386048" w14:textId="77777777" w:rsidR="00E92E2F" w:rsidRPr="00C06AAA" w:rsidRDefault="00000000" w:rsidP="00044ED7">
            <w:pPr>
              <w:jc w:val="center"/>
            </w:pPr>
            <w:r w:rsidRPr="00C06AAA">
              <w:rPr>
                <w:rFonts w:cs="Times New Roman"/>
                <w:b/>
                <w:bCs/>
                <w:sz w:val="22"/>
                <w:szCs w:val="22"/>
              </w:rPr>
              <w:t>Control (n = 20)</w:t>
            </w:r>
          </w:p>
        </w:tc>
        <w:tc>
          <w:tcPr>
            <w:tcW w:w="1914"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3FD29F32" w14:textId="77777777" w:rsidR="00E92E2F" w:rsidRPr="00C06AAA" w:rsidRDefault="00000000" w:rsidP="00044ED7">
            <w:pPr>
              <w:jc w:val="center"/>
            </w:pPr>
            <w:r w:rsidRPr="00C06AAA">
              <w:rPr>
                <w:rFonts w:cs="Times New Roman"/>
                <w:b/>
                <w:bCs/>
                <w:sz w:val="22"/>
                <w:szCs w:val="22"/>
              </w:rPr>
              <w:t>P</w:t>
            </w:r>
          </w:p>
        </w:tc>
      </w:tr>
      <w:tr w:rsidR="00E92E2F" w:rsidRPr="00C06AAA" w14:paraId="40889437" w14:textId="77777777">
        <w:tc>
          <w:tcPr>
            <w:tcW w:w="3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1AA9967" w14:textId="77777777" w:rsidR="00E92E2F" w:rsidRPr="00C06AAA" w:rsidRDefault="00000000" w:rsidP="00044ED7">
            <w:r w:rsidRPr="00C06AAA">
              <w:rPr>
                <w:rFonts w:cs="Times New Roman"/>
                <w:sz w:val="22"/>
                <w:szCs w:val="22"/>
              </w:rPr>
              <w:t>Age (years)</w:t>
            </w:r>
          </w:p>
        </w:tc>
        <w:tc>
          <w:tcPr>
            <w:tcW w:w="2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8CBC12F" w14:textId="77777777" w:rsidR="00E92E2F" w:rsidRPr="00C06AAA" w:rsidRDefault="00000000" w:rsidP="00044ED7">
            <w:pPr>
              <w:jc w:val="center"/>
            </w:pPr>
            <w:r w:rsidRPr="00C06AAA">
              <w:rPr>
                <w:rFonts w:cs="Times New Roman"/>
                <w:sz w:val="22"/>
                <w:szCs w:val="22"/>
              </w:rPr>
              <w:t>16.45 ± 0.51</w:t>
            </w:r>
          </w:p>
        </w:tc>
        <w:tc>
          <w:tcPr>
            <w:tcW w:w="2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BBF0DD4" w14:textId="77777777" w:rsidR="00E92E2F" w:rsidRPr="00C06AAA" w:rsidRDefault="00000000" w:rsidP="00044ED7">
            <w:pPr>
              <w:jc w:val="center"/>
            </w:pPr>
            <w:r w:rsidRPr="00C06AAA">
              <w:rPr>
                <w:rFonts w:cs="Times New Roman"/>
                <w:sz w:val="22"/>
                <w:szCs w:val="22"/>
              </w:rPr>
              <w:t>16.50 ± 0.53</w:t>
            </w:r>
          </w:p>
        </w:tc>
        <w:tc>
          <w:tcPr>
            <w:tcW w:w="19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B824B1E" w14:textId="77777777" w:rsidR="00E92E2F" w:rsidRPr="00C06AAA" w:rsidRDefault="00000000" w:rsidP="00044ED7">
            <w:pPr>
              <w:jc w:val="center"/>
            </w:pPr>
            <w:r w:rsidRPr="00C06AAA">
              <w:rPr>
                <w:rFonts w:cs="Times New Roman"/>
                <w:sz w:val="22"/>
                <w:szCs w:val="22"/>
              </w:rPr>
              <w:t>.77</w:t>
            </w:r>
          </w:p>
        </w:tc>
      </w:tr>
      <w:tr w:rsidR="00E92E2F" w:rsidRPr="00C06AAA" w14:paraId="3FEEFDE0" w14:textId="77777777">
        <w:tc>
          <w:tcPr>
            <w:tcW w:w="3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2AAE569" w14:textId="77777777" w:rsidR="00E92E2F" w:rsidRPr="00C06AAA" w:rsidRDefault="00000000" w:rsidP="00044ED7">
            <w:r w:rsidRPr="00C06AAA">
              <w:rPr>
                <w:rFonts w:cs="Times New Roman"/>
                <w:sz w:val="22"/>
                <w:szCs w:val="22"/>
              </w:rPr>
              <w:t>Height (cm)</w:t>
            </w:r>
          </w:p>
        </w:tc>
        <w:tc>
          <w:tcPr>
            <w:tcW w:w="2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12FC869" w14:textId="77777777" w:rsidR="00E92E2F" w:rsidRPr="00C06AAA" w:rsidRDefault="00000000" w:rsidP="00044ED7">
            <w:pPr>
              <w:jc w:val="center"/>
            </w:pPr>
            <w:r w:rsidRPr="00C06AAA">
              <w:rPr>
                <w:rFonts w:cs="Times New Roman"/>
                <w:sz w:val="22"/>
                <w:szCs w:val="22"/>
              </w:rPr>
              <w:t>164.50 ± 7.20</w:t>
            </w:r>
          </w:p>
        </w:tc>
        <w:tc>
          <w:tcPr>
            <w:tcW w:w="2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12820C4" w14:textId="77777777" w:rsidR="00E92E2F" w:rsidRPr="00C06AAA" w:rsidRDefault="00000000" w:rsidP="00044ED7">
            <w:pPr>
              <w:jc w:val="center"/>
            </w:pPr>
            <w:r w:rsidRPr="00C06AAA">
              <w:rPr>
                <w:rFonts w:cs="Times New Roman"/>
                <w:sz w:val="22"/>
                <w:szCs w:val="22"/>
              </w:rPr>
              <w:t>165.10 ± 6.90</w:t>
            </w:r>
          </w:p>
        </w:tc>
        <w:tc>
          <w:tcPr>
            <w:tcW w:w="19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B7DB0A9" w14:textId="77777777" w:rsidR="00E92E2F" w:rsidRPr="00C06AAA" w:rsidRDefault="00000000" w:rsidP="00044ED7">
            <w:pPr>
              <w:jc w:val="center"/>
            </w:pPr>
            <w:r w:rsidRPr="00C06AAA">
              <w:rPr>
                <w:rFonts w:cs="Times New Roman"/>
                <w:sz w:val="22"/>
                <w:szCs w:val="22"/>
              </w:rPr>
              <w:t>.79</w:t>
            </w:r>
          </w:p>
        </w:tc>
      </w:tr>
      <w:tr w:rsidR="00E92E2F" w:rsidRPr="00C06AAA" w14:paraId="2873DD4F" w14:textId="77777777">
        <w:tc>
          <w:tcPr>
            <w:tcW w:w="3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E8E5E97" w14:textId="77777777" w:rsidR="00E92E2F" w:rsidRPr="00C06AAA" w:rsidRDefault="00000000" w:rsidP="00044ED7">
            <w:r w:rsidRPr="00C06AAA">
              <w:rPr>
                <w:rFonts w:cs="Times New Roman"/>
                <w:sz w:val="22"/>
                <w:szCs w:val="22"/>
              </w:rPr>
              <w:t>Weight (kg)</w:t>
            </w:r>
          </w:p>
        </w:tc>
        <w:tc>
          <w:tcPr>
            <w:tcW w:w="2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6CFB1C7" w14:textId="77777777" w:rsidR="00E92E2F" w:rsidRPr="00C06AAA" w:rsidRDefault="00000000" w:rsidP="00044ED7">
            <w:pPr>
              <w:jc w:val="center"/>
            </w:pPr>
            <w:r w:rsidRPr="00C06AAA">
              <w:rPr>
                <w:rFonts w:cs="Times New Roman"/>
                <w:sz w:val="22"/>
                <w:szCs w:val="22"/>
              </w:rPr>
              <w:t>58.20 ± 8.40</w:t>
            </w:r>
          </w:p>
        </w:tc>
        <w:tc>
          <w:tcPr>
            <w:tcW w:w="2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8E400DA" w14:textId="77777777" w:rsidR="00E92E2F" w:rsidRPr="00C06AAA" w:rsidRDefault="00000000" w:rsidP="00044ED7">
            <w:pPr>
              <w:jc w:val="center"/>
            </w:pPr>
            <w:r w:rsidRPr="00C06AAA">
              <w:rPr>
                <w:rFonts w:cs="Times New Roman"/>
                <w:sz w:val="22"/>
                <w:szCs w:val="22"/>
              </w:rPr>
              <w:t>59.10 ± 9.10</w:t>
            </w:r>
          </w:p>
        </w:tc>
        <w:tc>
          <w:tcPr>
            <w:tcW w:w="19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E0171B4" w14:textId="77777777" w:rsidR="00E92E2F" w:rsidRPr="00C06AAA" w:rsidRDefault="00000000" w:rsidP="00044ED7">
            <w:pPr>
              <w:jc w:val="center"/>
            </w:pPr>
            <w:r w:rsidRPr="00C06AAA">
              <w:rPr>
                <w:rFonts w:cs="Times New Roman"/>
                <w:sz w:val="22"/>
                <w:szCs w:val="22"/>
              </w:rPr>
              <w:t>.75</w:t>
            </w:r>
          </w:p>
        </w:tc>
      </w:tr>
      <w:tr w:rsidR="00E92E2F" w:rsidRPr="00C06AAA" w14:paraId="44D3AE46" w14:textId="77777777">
        <w:tc>
          <w:tcPr>
            <w:tcW w:w="3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FFDEE25" w14:textId="77777777" w:rsidR="00E92E2F" w:rsidRPr="00C06AAA" w:rsidRDefault="00000000" w:rsidP="00044ED7">
            <w:r w:rsidRPr="00C06AAA">
              <w:rPr>
                <w:rFonts w:cs="Times New Roman"/>
                <w:sz w:val="22"/>
                <w:szCs w:val="22"/>
              </w:rPr>
              <w:t>BMI (kg/m²)</w:t>
            </w:r>
          </w:p>
        </w:tc>
        <w:tc>
          <w:tcPr>
            <w:tcW w:w="2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BA60876" w14:textId="77777777" w:rsidR="00E92E2F" w:rsidRPr="00C06AAA" w:rsidRDefault="00000000" w:rsidP="00044ED7">
            <w:pPr>
              <w:jc w:val="center"/>
            </w:pPr>
            <w:r w:rsidRPr="00C06AAA">
              <w:rPr>
                <w:rFonts w:cs="Times New Roman"/>
                <w:sz w:val="22"/>
                <w:szCs w:val="22"/>
              </w:rPr>
              <w:t>21.50 ± 2.60</w:t>
            </w:r>
          </w:p>
        </w:tc>
        <w:tc>
          <w:tcPr>
            <w:tcW w:w="2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B9F7CD8" w14:textId="77777777" w:rsidR="00E92E2F" w:rsidRPr="00C06AAA" w:rsidRDefault="00000000" w:rsidP="00044ED7">
            <w:pPr>
              <w:jc w:val="center"/>
            </w:pPr>
            <w:r w:rsidRPr="00C06AAA">
              <w:rPr>
                <w:rFonts w:cs="Times New Roman"/>
                <w:sz w:val="22"/>
                <w:szCs w:val="22"/>
              </w:rPr>
              <w:t>21.70 ± 2.90</w:t>
            </w:r>
          </w:p>
        </w:tc>
        <w:tc>
          <w:tcPr>
            <w:tcW w:w="19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0854C79" w14:textId="77777777" w:rsidR="00E92E2F" w:rsidRPr="00C06AAA" w:rsidRDefault="00000000" w:rsidP="00044ED7">
            <w:pPr>
              <w:jc w:val="center"/>
            </w:pPr>
            <w:r w:rsidRPr="00C06AAA">
              <w:rPr>
                <w:rFonts w:cs="Times New Roman"/>
                <w:sz w:val="22"/>
                <w:szCs w:val="22"/>
              </w:rPr>
              <w:t>.82</w:t>
            </w:r>
          </w:p>
        </w:tc>
      </w:tr>
      <w:tr w:rsidR="00E92E2F" w:rsidRPr="00C06AAA" w14:paraId="4FD88C2A" w14:textId="77777777">
        <w:tc>
          <w:tcPr>
            <w:tcW w:w="3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7D19810" w14:textId="77777777" w:rsidR="00E92E2F" w:rsidRPr="00C06AAA" w:rsidRDefault="00000000" w:rsidP="00044ED7">
            <w:r w:rsidRPr="00C06AAA">
              <w:rPr>
                <w:rFonts w:cs="Times New Roman"/>
                <w:sz w:val="22"/>
                <w:szCs w:val="22"/>
              </w:rPr>
              <w:t>Total badminton skill (pts)</w:t>
            </w:r>
          </w:p>
        </w:tc>
        <w:tc>
          <w:tcPr>
            <w:tcW w:w="2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EC34F1E" w14:textId="77777777" w:rsidR="00E92E2F" w:rsidRPr="00C06AAA" w:rsidRDefault="00000000" w:rsidP="00044ED7">
            <w:pPr>
              <w:jc w:val="center"/>
            </w:pPr>
            <w:r w:rsidRPr="00C06AAA">
              <w:rPr>
                <w:rFonts w:cs="Times New Roman"/>
                <w:sz w:val="22"/>
                <w:szCs w:val="22"/>
              </w:rPr>
              <w:t>152.80 ± 18.70</w:t>
            </w:r>
          </w:p>
        </w:tc>
        <w:tc>
          <w:tcPr>
            <w:tcW w:w="2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5BEF94D" w14:textId="77777777" w:rsidR="00E92E2F" w:rsidRPr="00C06AAA" w:rsidRDefault="00000000" w:rsidP="00044ED7">
            <w:pPr>
              <w:jc w:val="center"/>
            </w:pPr>
            <w:r w:rsidRPr="00C06AAA">
              <w:rPr>
                <w:rFonts w:cs="Times New Roman"/>
                <w:sz w:val="22"/>
                <w:szCs w:val="22"/>
              </w:rPr>
              <w:t>150.40 ± 19.50</w:t>
            </w:r>
          </w:p>
        </w:tc>
        <w:tc>
          <w:tcPr>
            <w:tcW w:w="19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A6F0326" w14:textId="77777777" w:rsidR="00E92E2F" w:rsidRPr="00C06AAA" w:rsidRDefault="00000000" w:rsidP="00044ED7">
            <w:pPr>
              <w:jc w:val="center"/>
            </w:pPr>
            <w:r w:rsidRPr="00C06AAA">
              <w:rPr>
                <w:rFonts w:cs="Times New Roman"/>
                <w:sz w:val="22"/>
                <w:szCs w:val="22"/>
              </w:rPr>
              <w:t>.69</w:t>
            </w:r>
          </w:p>
        </w:tc>
      </w:tr>
      <w:tr w:rsidR="00E92E2F" w:rsidRPr="00C06AAA" w14:paraId="79AB4BD3" w14:textId="77777777">
        <w:tc>
          <w:tcPr>
            <w:tcW w:w="3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1860C69" w14:textId="77777777" w:rsidR="00E92E2F" w:rsidRPr="00C06AAA" w:rsidRDefault="00000000" w:rsidP="00044ED7">
            <w:r w:rsidRPr="00C06AAA">
              <w:rPr>
                <w:rFonts w:cs="Times New Roman"/>
                <w:sz w:val="22"/>
                <w:szCs w:val="22"/>
              </w:rPr>
              <w:t>CRF VO₂max (mL/kg/min)</w:t>
            </w:r>
          </w:p>
        </w:tc>
        <w:tc>
          <w:tcPr>
            <w:tcW w:w="2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E96FA3A" w14:textId="77777777" w:rsidR="00E92E2F" w:rsidRPr="00C06AAA" w:rsidRDefault="00000000" w:rsidP="00044ED7">
            <w:pPr>
              <w:jc w:val="center"/>
            </w:pPr>
            <w:r w:rsidRPr="00C06AAA">
              <w:rPr>
                <w:rFonts w:cs="Times New Roman"/>
                <w:sz w:val="22"/>
                <w:szCs w:val="22"/>
              </w:rPr>
              <w:t>39.40 ± 4.20</w:t>
            </w:r>
          </w:p>
        </w:tc>
        <w:tc>
          <w:tcPr>
            <w:tcW w:w="2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10A53FF" w14:textId="77777777" w:rsidR="00E92E2F" w:rsidRPr="00C06AAA" w:rsidRDefault="00000000" w:rsidP="00044ED7">
            <w:pPr>
              <w:jc w:val="center"/>
            </w:pPr>
            <w:r w:rsidRPr="00C06AAA">
              <w:rPr>
                <w:rFonts w:cs="Times New Roman"/>
                <w:sz w:val="22"/>
                <w:szCs w:val="22"/>
              </w:rPr>
              <w:t>39.80 ± 4.50</w:t>
            </w:r>
          </w:p>
        </w:tc>
        <w:tc>
          <w:tcPr>
            <w:tcW w:w="19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44517B5" w14:textId="77777777" w:rsidR="00E92E2F" w:rsidRPr="00C06AAA" w:rsidRDefault="00000000" w:rsidP="00044ED7">
            <w:pPr>
              <w:jc w:val="center"/>
            </w:pPr>
            <w:r w:rsidRPr="00C06AAA">
              <w:rPr>
                <w:rFonts w:cs="Times New Roman"/>
                <w:sz w:val="22"/>
                <w:szCs w:val="22"/>
              </w:rPr>
              <w:t>.77</w:t>
            </w:r>
          </w:p>
        </w:tc>
      </w:tr>
      <w:tr w:rsidR="00E92E2F" w:rsidRPr="00C06AAA" w14:paraId="56F8A1DF" w14:textId="77777777">
        <w:tc>
          <w:tcPr>
            <w:tcW w:w="320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3B88CC06" w14:textId="77777777" w:rsidR="00E92E2F" w:rsidRPr="00C06AAA" w:rsidRDefault="00000000" w:rsidP="00044ED7">
            <w:r w:rsidRPr="00C06AAA">
              <w:rPr>
                <w:rFonts w:cs="Times New Roman"/>
                <w:sz w:val="22"/>
                <w:szCs w:val="22"/>
              </w:rPr>
              <w:t>Attitude (max 120)</w:t>
            </w:r>
          </w:p>
        </w:tc>
        <w:tc>
          <w:tcPr>
            <w:tcW w:w="210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0A07CB17" w14:textId="77777777" w:rsidR="00E92E2F" w:rsidRPr="00C06AAA" w:rsidRDefault="00000000" w:rsidP="00044ED7">
            <w:pPr>
              <w:jc w:val="center"/>
            </w:pPr>
            <w:r w:rsidRPr="00C06AAA">
              <w:rPr>
                <w:rFonts w:cs="Times New Roman"/>
                <w:sz w:val="22"/>
                <w:szCs w:val="22"/>
              </w:rPr>
              <w:t>78.40 ± 9.70</w:t>
            </w:r>
          </w:p>
        </w:tc>
        <w:tc>
          <w:tcPr>
            <w:tcW w:w="210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6806DAB7" w14:textId="77777777" w:rsidR="00E92E2F" w:rsidRPr="00C06AAA" w:rsidRDefault="00000000" w:rsidP="00044ED7">
            <w:pPr>
              <w:jc w:val="center"/>
            </w:pPr>
            <w:r w:rsidRPr="00C06AAA">
              <w:rPr>
                <w:rFonts w:cs="Times New Roman"/>
                <w:sz w:val="22"/>
                <w:szCs w:val="22"/>
              </w:rPr>
              <w:t>79.10 ± 10.10</w:t>
            </w:r>
          </w:p>
        </w:tc>
        <w:tc>
          <w:tcPr>
            <w:tcW w:w="1914"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6A018282" w14:textId="77777777" w:rsidR="00E92E2F" w:rsidRPr="00C06AAA" w:rsidRDefault="00000000" w:rsidP="00044ED7">
            <w:pPr>
              <w:jc w:val="center"/>
            </w:pPr>
            <w:r w:rsidRPr="00C06AAA">
              <w:rPr>
                <w:rFonts w:cs="Times New Roman"/>
                <w:sz w:val="22"/>
                <w:szCs w:val="22"/>
              </w:rPr>
              <w:t>.82</w:t>
            </w:r>
          </w:p>
        </w:tc>
      </w:tr>
    </w:tbl>
    <w:p w14:paraId="1B66D064" w14:textId="77777777" w:rsidR="00E92E2F" w:rsidRPr="00C06AAA" w:rsidRDefault="00000000" w:rsidP="00044ED7">
      <w:pPr>
        <w:spacing w:before="40"/>
      </w:pPr>
      <w:r w:rsidRPr="00C06AAA">
        <w:rPr>
          <w:rFonts w:cs="Times New Roman"/>
          <w:i/>
          <w:iCs/>
          <w:sz w:val="22"/>
          <w:szCs w:val="22"/>
        </w:rPr>
        <w:t>Note. Independent-samples t-tests for continuous variables. No variable differed significantly at *P &lt; .05, indicating the groups were homogeneous at baseline.</w:t>
      </w:r>
    </w:p>
    <w:p w14:paraId="525540C7" w14:textId="77777777" w:rsidR="00E92E2F" w:rsidRPr="00C06AAA" w:rsidRDefault="00000000" w:rsidP="00044ED7">
      <w:pPr>
        <w:keepNext/>
        <w:spacing w:before="160"/>
      </w:pPr>
      <w:r w:rsidRPr="00C06AAA">
        <w:rPr>
          <w:rFonts w:cs="Times New Roman"/>
          <w:b/>
          <w:bCs/>
        </w:rPr>
        <w:lastRenderedPageBreak/>
        <w:t>Table 3</w:t>
      </w:r>
      <w:r w:rsidRPr="00C06AAA">
        <w:rPr>
          <w:rFonts w:cs="Times New Roman"/>
        </w:rPr>
        <w:t xml:space="preserve"> Quality of the B-HIIT-PE Model and Measurement Instruments (Objective 1)</w:t>
      </w:r>
    </w:p>
    <w:tbl>
      <w:tblPr>
        <w:tblW w:w="93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100"/>
        <w:gridCol w:w="2800"/>
        <w:gridCol w:w="1200"/>
        <w:gridCol w:w="1214"/>
      </w:tblGrid>
      <w:tr w:rsidR="00E92E2F" w:rsidRPr="00C06AAA" w14:paraId="0A58B481" w14:textId="77777777">
        <w:trPr>
          <w:tblHeader/>
        </w:trPr>
        <w:tc>
          <w:tcPr>
            <w:tcW w:w="410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2BA2F1D4" w14:textId="77777777" w:rsidR="00E92E2F" w:rsidRPr="00C06AAA" w:rsidRDefault="00000000" w:rsidP="00044ED7">
            <w:pPr>
              <w:jc w:val="center"/>
            </w:pPr>
            <w:r w:rsidRPr="00C06AAA">
              <w:rPr>
                <w:rFonts w:cs="Times New Roman"/>
                <w:b/>
                <w:bCs/>
                <w:sz w:val="22"/>
                <w:szCs w:val="22"/>
              </w:rPr>
              <w:t>Instrument</w:t>
            </w:r>
          </w:p>
        </w:tc>
        <w:tc>
          <w:tcPr>
            <w:tcW w:w="280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25241C32" w14:textId="77777777" w:rsidR="00E92E2F" w:rsidRPr="00C06AAA" w:rsidRDefault="00000000" w:rsidP="00044ED7">
            <w:pPr>
              <w:jc w:val="center"/>
            </w:pPr>
            <w:r w:rsidRPr="00C06AAA">
              <w:rPr>
                <w:rFonts w:cs="Times New Roman"/>
                <w:b/>
                <w:bCs/>
                <w:sz w:val="22"/>
                <w:szCs w:val="22"/>
              </w:rPr>
              <w:t>Index</w:t>
            </w:r>
          </w:p>
        </w:tc>
        <w:tc>
          <w:tcPr>
            <w:tcW w:w="120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755A7D42" w14:textId="77777777" w:rsidR="00E92E2F" w:rsidRPr="00C06AAA" w:rsidRDefault="00000000" w:rsidP="00044ED7">
            <w:pPr>
              <w:jc w:val="center"/>
            </w:pPr>
            <w:r w:rsidRPr="00C06AAA">
              <w:rPr>
                <w:rFonts w:cs="Times New Roman"/>
                <w:b/>
                <w:bCs/>
                <w:sz w:val="22"/>
                <w:szCs w:val="22"/>
              </w:rPr>
              <w:t>Value</w:t>
            </w:r>
          </w:p>
        </w:tc>
        <w:tc>
          <w:tcPr>
            <w:tcW w:w="1214"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2B8437AD" w14:textId="77777777" w:rsidR="00E92E2F" w:rsidRPr="00C06AAA" w:rsidRDefault="00000000" w:rsidP="00044ED7">
            <w:pPr>
              <w:jc w:val="center"/>
            </w:pPr>
            <w:r w:rsidRPr="00C06AAA">
              <w:rPr>
                <w:rFonts w:cs="Times New Roman"/>
                <w:b/>
                <w:bCs/>
                <w:sz w:val="22"/>
                <w:szCs w:val="22"/>
              </w:rPr>
              <w:t>Criterion</w:t>
            </w:r>
          </w:p>
        </w:tc>
      </w:tr>
      <w:tr w:rsidR="00E92E2F" w:rsidRPr="00C06AAA" w14:paraId="2F168569" w14:textId="77777777">
        <w:tc>
          <w:tcPr>
            <w:tcW w:w="4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8116560" w14:textId="77777777" w:rsidR="00E92E2F" w:rsidRPr="00C06AAA" w:rsidRDefault="00000000" w:rsidP="00044ED7">
            <w:r w:rsidRPr="00C06AAA">
              <w:rPr>
                <w:rFonts w:cs="Times New Roman"/>
                <w:sz w:val="22"/>
                <w:szCs w:val="22"/>
              </w:rPr>
              <w:t>B-HIIT-PE lesson plans (128 items)</w:t>
            </w:r>
          </w:p>
        </w:tc>
        <w:tc>
          <w:tcPr>
            <w:tcW w:w="28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E6AC34F" w14:textId="77777777" w:rsidR="00E92E2F" w:rsidRPr="00C06AAA" w:rsidRDefault="00000000" w:rsidP="00044ED7">
            <w:pPr>
              <w:jc w:val="center"/>
            </w:pPr>
            <w:r w:rsidRPr="00C06AAA">
              <w:rPr>
                <w:rFonts w:cs="Times New Roman"/>
                <w:sz w:val="22"/>
                <w:szCs w:val="22"/>
              </w:rPr>
              <w:t>Mean IOC</w:t>
            </w:r>
          </w:p>
        </w:tc>
        <w:tc>
          <w:tcPr>
            <w:tcW w:w="1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0D3605B" w14:textId="77777777" w:rsidR="00E92E2F" w:rsidRPr="00C06AAA" w:rsidRDefault="00000000" w:rsidP="00044ED7">
            <w:pPr>
              <w:jc w:val="center"/>
            </w:pPr>
            <w:r w:rsidRPr="00C06AAA">
              <w:rPr>
                <w:rFonts w:cs="Times New Roman"/>
                <w:sz w:val="22"/>
                <w:szCs w:val="22"/>
              </w:rPr>
              <w:t>.89</w:t>
            </w:r>
          </w:p>
        </w:tc>
        <w:tc>
          <w:tcPr>
            <w:tcW w:w="12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8242E71" w14:textId="77777777" w:rsidR="00E92E2F" w:rsidRPr="00C06AAA" w:rsidRDefault="00000000" w:rsidP="00044ED7">
            <w:pPr>
              <w:jc w:val="center"/>
            </w:pPr>
            <w:r w:rsidRPr="00C06AAA">
              <w:rPr>
                <w:rFonts w:cs="Times New Roman"/>
                <w:sz w:val="22"/>
                <w:szCs w:val="22"/>
              </w:rPr>
              <w:t>≥ .50</w:t>
            </w:r>
          </w:p>
        </w:tc>
      </w:tr>
      <w:tr w:rsidR="00E92E2F" w:rsidRPr="00C06AAA" w14:paraId="2E385267" w14:textId="77777777">
        <w:tc>
          <w:tcPr>
            <w:tcW w:w="4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E08E2B7" w14:textId="77777777" w:rsidR="00E92E2F" w:rsidRPr="00C06AAA" w:rsidRDefault="00000000" w:rsidP="00044ED7">
            <w:r w:rsidRPr="00C06AAA">
              <w:rPr>
                <w:rFonts w:cs="Times New Roman"/>
                <w:sz w:val="22"/>
                <w:szCs w:val="22"/>
              </w:rPr>
              <w:t>B-HIIT-PE program</w:t>
            </w:r>
          </w:p>
        </w:tc>
        <w:tc>
          <w:tcPr>
            <w:tcW w:w="28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5EE4A98" w14:textId="77777777" w:rsidR="00E92E2F" w:rsidRPr="00C06AAA" w:rsidRDefault="00000000" w:rsidP="00044ED7">
            <w:pPr>
              <w:jc w:val="center"/>
            </w:pPr>
            <w:r w:rsidRPr="00C06AAA">
              <w:rPr>
                <w:rFonts w:cs="Times New Roman"/>
                <w:sz w:val="22"/>
                <w:szCs w:val="22"/>
              </w:rPr>
              <w:t>Test–retest ICC</w:t>
            </w:r>
          </w:p>
        </w:tc>
        <w:tc>
          <w:tcPr>
            <w:tcW w:w="1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1B060F8" w14:textId="77777777" w:rsidR="00E92E2F" w:rsidRPr="00C06AAA" w:rsidRDefault="00000000" w:rsidP="00044ED7">
            <w:pPr>
              <w:jc w:val="center"/>
            </w:pPr>
            <w:r w:rsidRPr="00C06AAA">
              <w:rPr>
                <w:rFonts w:cs="Times New Roman"/>
                <w:sz w:val="22"/>
                <w:szCs w:val="22"/>
              </w:rPr>
              <w:t>.89</w:t>
            </w:r>
          </w:p>
        </w:tc>
        <w:tc>
          <w:tcPr>
            <w:tcW w:w="12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684C2F8" w14:textId="77777777" w:rsidR="00E92E2F" w:rsidRPr="00C06AAA" w:rsidRDefault="00000000" w:rsidP="00044ED7">
            <w:pPr>
              <w:jc w:val="center"/>
            </w:pPr>
            <w:r w:rsidRPr="00C06AAA">
              <w:rPr>
                <w:rFonts w:cs="Times New Roman"/>
                <w:sz w:val="22"/>
                <w:szCs w:val="22"/>
              </w:rPr>
              <w:t>≥ .80</w:t>
            </w:r>
          </w:p>
        </w:tc>
      </w:tr>
      <w:tr w:rsidR="00E92E2F" w:rsidRPr="00C06AAA" w14:paraId="1B8036A0" w14:textId="77777777">
        <w:tc>
          <w:tcPr>
            <w:tcW w:w="4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1BDF6A2" w14:textId="77777777" w:rsidR="00E92E2F" w:rsidRPr="00C06AAA" w:rsidRDefault="00000000" w:rsidP="00044ED7">
            <w:r w:rsidRPr="00C06AAA">
              <w:rPr>
                <w:rFonts w:cs="Times New Roman"/>
                <w:sz w:val="22"/>
                <w:szCs w:val="22"/>
              </w:rPr>
              <w:t>Poole’s Forehand Clear Test</w:t>
            </w:r>
          </w:p>
        </w:tc>
        <w:tc>
          <w:tcPr>
            <w:tcW w:w="28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FAB8E0D" w14:textId="77777777" w:rsidR="00E92E2F" w:rsidRPr="00C06AAA" w:rsidRDefault="00000000" w:rsidP="00044ED7">
            <w:pPr>
              <w:jc w:val="center"/>
            </w:pPr>
            <w:r w:rsidRPr="00C06AAA">
              <w:rPr>
                <w:rFonts w:cs="Times New Roman"/>
                <w:sz w:val="22"/>
                <w:szCs w:val="22"/>
              </w:rPr>
              <w:t>ICC</w:t>
            </w:r>
          </w:p>
        </w:tc>
        <w:tc>
          <w:tcPr>
            <w:tcW w:w="1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3756375" w14:textId="77777777" w:rsidR="00E92E2F" w:rsidRPr="00C06AAA" w:rsidRDefault="00000000" w:rsidP="00044ED7">
            <w:pPr>
              <w:jc w:val="center"/>
            </w:pPr>
            <w:r w:rsidRPr="00C06AAA">
              <w:rPr>
                <w:rFonts w:cs="Times New Roman"/>
                <w:sz w:val="22"/>
                <w:szCs w:val="22"/>
              </w:rPr>
              <w:t>.87</w:t>
            </w:r>
          </w:p>
        </w:tc>
        <w:tc>
          <w:tcPr>
            <w:tcW w:w="12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9757E6F" w14:textId="77777777" w:rsidR="00E92E2F" w:rsidRPr="00C06AAA" w:rsidRDefault="00000000" w:rsidP="00044ED7">
            <w:pPr>
              <w:jc w:val="center"/>
            </w:pPr>
            <w:r w:rsidRPr="00C06AAA">
              <w:rPr>
                <w:rFonts w:cs="Times New Roman"/>
                <w:sz w:val="22"/>
                <w:szCs w:val="22"/>
              </w:rPr>
              <w:t>≥ .80</w:t>
            </w:r>
          </w:p>
        </w:tc>
      </w:tr>
      <w:tr w:rsidR="00E92E2F" w:rsidRPr="00C06AAA" w14:paraId="18B7CE4C" w14:textId="77777777">
        <w:tc>
          <w:tcPr>
            <w:tcW w:w="4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0BC6AD9" w14:textId="77777777" w:rsidR="00E92E2F" w:rsidRPr="00C06AAA" w:rsidRDefault="00000000" w:rsidP="00044ED7">
            <w:r w:rsidRPr="00C06AAA">
              <w:rPr>
                <w:rFonts w:cs="Times New Roman"/>
                <w:sz w:val="22"/>
                <w:szCs w:val="22"/>
              </w:rPr>
              <w:t>French Short Service Test</w:t>
            </w:r>
          </w:p>
        </w:tc>
        <w:tc>
          <w:tcPr>
            <w:tcW w:w="28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75BCEAF" w14:textId="77777777" w:rsidR="00E92E2F" w:rsidRPr="00C06AAA" w:rsidRDefault="00000000" w:rsidP="00044ED7">
            <w:pPr>
              <w:jc w:val="center"/>
            </w:pPr>
            <w:r w:rsidRPr="00C06AAA">
              <w:rPr>
                <w:rFonts w:cs="Times New Roman"/>
                <w:sz w:val="22"/>
                <w:szCs w:val="22"/>
              </w:rPr>
              <w:t>ICC</w:t>
            </w:r>
          </w:p>
        </w:tc>
        <w:tc>
          <w:tcPr>
            <w:tcW w:w="1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8151732" w14:textId="77777777" w:rsidR="00E92E2F" w:rsidRPr="00C06AAA" w:rsidRDefault="00000000" w:rsidP="00044ED7">
            <w:pPr>
              <w:jc w:val="center"/>
            </w:pPr>
            <w:r w:rsidRPr="00C06AAA">
              <w:rPr>
                <w:rFonts w:cs="Times New Roman"/>
                <w:sz w:val="22"/>
                <w:szCs w:val="22"/>
              </w:rPr>
              <w:t>.84</w:t>
            </w:r>
          </w:p>
        </w:tc>
        <w:tc>
          <w:tcPr>
            <w:tcW w:w="12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C27AA28" w14:textId="77777777" w:rsidR="00E92E2F" w:rsidRPr="00C06AAA" w:rsidRDefault="00000000" w:rsidP="00044ED7">
            <w:pPr>
              <w:jc w:val="center"/>
            </w:pPr>
            <w:r w:rsidRPr="00C06AAA">
              <w:rPr>
                <w:rFonts w:cs="Times New Roman"/>
                <w:sz w:val="22"/>
                <w:szCs w:val="22"/>
              </w:rPr>
              <w:t>≥ .80</w:t>
            </w:r>
          </w:p>
        </w:tc>
      </w:tr>
      <w:tr w:rsidR="00E92E2F" w:rsidRPr="00C06AAA" w14:paraId="1D18C11F" w14:textId="77777777">
        <w:tc>
          <w:tcPr>
            <w:tcW w:w="4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E72068F" w14:textId="77777777" w:rsidR="00E92E2F" w:rsidRPr="00C06AAA" w:rsidRDefault="00000000" w:rsidP="00044ED7">
            <w:r w:rsidRPr="00C06AAA">
              <w:rPr>
                <w:rFonts w:cs="Times New Roman"/>
                <w:sz w:val="22"/>
                <w:szCs w:val="22"/>
              </w:rPr>
              <w:t>Modified Smash Accuracy Test</w:t>
            </w:r>
          </w:p>
        </w:tc>
        <w:tc>
          <w:tcPr>
            <w:tcW w:w="28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7728AB1" w14:textId="77777777" w:rsidR="00E92E2F" w:rsidRPr="00C06AAA" w:rsidRDefault="00000000" w:rsidP="00044ED7">
            <w:pPr>
              <w:jc w:val="center"/>
            </w:pPr>
            <w:r w:rsidRPr="00C06AAA">
              <w:rPr>
                <w:rFonts w:cs="Times New Roman"/>
                <w:sz w:val="22"/>
                <w:szCs w:val="22"/>
              </w:rPr>
              <w:t>ICC</w:t>
            </w:r>
          </w:p>
        </w:tc>
        <w:tc>
          <w:tcPr>
            <w:tcW w:w="1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03F93F9" w14:textId="77777777" w:rsidR="00E92E2F" w:rsidRPr="00C06AAA" w:rsidRDefault="00000000" w:rsidP="00044ED7">
            <w:pPr>
              <w:jc w:val="center"/>
            </w:pPr>
            <w:r w:rsidRPr="00C06AAA">
              <w:rPr>
                <w:rFonts w:cs="Times New Roman"/>
                <w:sz w:val="22"/>
                <w:szCs w:val="22"/>
              </w:rPr>
              <w:t>.82</w:t>
            </w:r>
          </w:p>
        </w:tc>
        <w:tc>
          <w:tcPr>
            <w:tcW w:w="12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21C91F9" w14:textId="77777777" w:rsidR="00E92E2F" w:rsidRPr="00C06AAA" w:rsidRDefault="00000000" w:rsidP="00044ED7">
            <w:pPr>
              <w:jc w:val="center"/>
            </w:pPr>
            <w:r w:rsidRPr="00C06AAA">
              <w:rPr>
                <w:rFonts w:cs="Times New Roman"/>
                <w:sz w:val="22"/>
                <w:szCs w:val="22"/>
              </w:rPr>
              <w:t>≥ .80</w:t>
            </w:r>
          </w:p>
        </w:tc>
      </w:tr>
      <w:tr w:rsidR="00E92E2F" w:rsidRPr="00C06AAA" w14:paraId="6B65E84E" w14:textId="77777777">
        <w:tc>
          <w:tcPr>
            <w:tcW w:w="4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9B57690" w14:textId="77777777" w:rsidR="00E92E2F" w:rsidRPr="00C06AAA" w:rsidRDefault="00000000" w:rsidP="00044ED7">
            <w:r w:rsidRPr="00C06AAA">
              <w:rPr>
                <w:rFonts w:cs="Times New Roman"/>
                <w:sz w:val="22"/>
                <w:szCs w:val="22"/>
              </w:rPr>
              <w:t>FITNESSGRAM battery (5 tests)</w:t>
            </w:r>
          </w:p>
        </w:tc>
        <w:tc>
          <w:tcPr>
            <w:tcW w:w="28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1925AEA" w14:textId="77777777" w:rsidR="00E92E2F" w:rsidRPr="00C06AAA" w:rsidRDefault="00000000" w:rsidP="00044ED7">
            <w:pPr>
              <w:jc w:val="center"/>
            </w:pPr>
            <w:r w:rsidRPr="00C06AAA">
              <w:rPr>
                <w:rFonts w:cs="Times New Roman"/>
                <w:sz w:val="22"/>
                <w:szCs w:val="22"/>
              </w:rPr>
              <w:t>ICC</w:t>
            </w:r>
          </w:p>
        </w:tc>
        <w:tc>
          <w:tcPr>
            <w:tcW w:w="1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6B68C5E" w14:textId="77777777" w:rsidR="00E92E2F" w:rsidRPr="00C06AAA" w:rsidRDefault="00000000" w:rsidP="00044ED7">
            <w:pPr>
              <w:jc w:val="center"/>
            </w:pPr>
            <w:r w:rsidRPr="00C06AAA">
              <w:rPr>
                <w:rFonts w:cs="Times New Roman"/>
                <w:sz w:val="22"/>
                <w:szCs w:val="22"/>
              </w:rPr>
              <w:t>.88</w:t>
            </w:r>
          </w:p>
        </w:tc>
        <w:tc>
          <w:tcPr>
            <w:tcW w:w="12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4339EF5" w14:textId="77777777" w:rsidR="00E92E2F" w:rsidRPr="00C06AAA" w:rsidRDefault="00000000" w:rsidP="00044ED7">
            <w:pPr>
              <w:jc w:val="center"/>
            </w:pPr>
            <w:r w:rsidRPr="00C06AAA">
              <w:rPr>
                <w:rFonts w:cs="Times New Roman"/>
                <w:sz w:val="22"/>
                <w:szCs w:val="22"/>
              </w:rPr>
              <w:t>≥ .80</w:t>
            </w:r>
          </w:p>
        </w:tc>
      </w:tr>
      <w:tr w:rsidR="00E92E2F" w:rsidRPr="00C06AAA" w14:paraId="6D59671F" w14:textId="77777777">
        <w:tc>
          <w:tcPr>
            <w:tcW w:w="4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F8DE73B" w14:textId="77777777" w:rsidR="00E92E2F" w:rsidRPr="00C06AAA" w:rsidRDefault="00000000" w:rsidP="00044ED7">
            <w:r w:rsidRPr="00C06AAA">
              <w:rPr>
                <w:rFonts w:cs="Times New Roman"/>
                <w:sz w:val="22"/>
                <w:szCs w:val="22"/>
              </w:rPr>
              <w:t>Attitude questionnaire (24 items)</w:t>
            </w:r>
          </w:p>
        </w:tc>
        <w:tc>
          <w:tcPr>
            <w:tcW w:w="28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1EC95AE" w14:textId="77777777" w:rsidR="00E92E2F" w:rsidRPr="00C06AAA" w:rsidRDefault="00000000" w:rsidP="00044ED7">
            <w:pPr>
              <w:jc w:val="center"/>
            </w:pPr>
            <w:r w:rsidRPr="00C06AAA">
              <w:rPr>
                <w:rFonts w:cs="Times New Roman"/>
                <w:sz w:val="22"/>
                <w:szCs w:val="22"/>
              </w:rPr>
              <w:t>Cronbach’s α</w:t>
            </w:r>
          </w:p>
        </w:tc>
        <w:tc>
          <w:tcPr>
            <w:tcW w:w="1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C37067C" w14:textId="77777777" w:rsidR="00E92E2F" w:rsidRPr="00C06AAA" w:rsidRDefault="00000000" w:rsidP="00044ED7">
            <w:pPr>
              <w:jc w:val="center"/>
            </w:pPr>
            <w:r w:rsidRPr="00C06AAA">
              <w:rPr>
                <w:rFonts w:cs="Times New Roman"/>
                <w:sz w:val="22"/>
                <w:szCs w:val="22"/>
              </w:rPr>
              <w:t>.86</w:t>
            </w:r>
          </w:p>
        </w:tc>
        <w:tc>
          <w:tcPr>
            <w:tcW w:w="12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6008775" w14:textId="77777777" w:rsidR="00E92E2F" w:rsidRPr="00C06AAA" w:rsidRDefault="00000000" w:rsidP="00044ED7">
            <w:pPr>
              <w:jc w:val="center"/>
            </w:pPr>
            <w:r w:rsidRPr="00C06AAA">
              <w:rPr>
                <w:rFonts w:cs="Times New Roman"/>
                <w:sz w:val="22"/>
                <w:szCs w:val="22"/>
              </w:rPr>
              <w:t>≥ .70</w:t>
            </w:r>
          </w:p>
        </w:tc>
      </w:tr>
      <w:tr w:rsidR="00E92E2F" w:rsidRPr="00C06AAA" w14:paraId="79676E70" w14:textId="77777777">
        <w:tc>
          <w:tcPr>
            <w:tcW w:w="410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19D60561" w14:textId="77777777" w:rsidR="00E92E2F" w:rsidRPr="00C06AAA" w:rsidRDefault="00000000" w:rsidP="00044ED7">
            <w:r w:rsidRPr="00C06AAA">
              <w:rPr>
                <w:rFonts w:cs="Times New Roman"/>
                <w:sz w:val="22"/>
                <w:szCs w:val="22"/>
              </w:rPr>
              <w:t>Skill scoring (2 raters)</w:t>
            </w:r>
          </w:p>
        </w:tc>
        <w:tc>
          <w:tcPr>
            <w:tcW w:w="280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42990A1E" w14:textId="77777777" w:rsidR="00E92E2F" w:rsidRPr="00C06AAA" w:rsidRDefault="00000000" w:rsidP="00044ED7">
            <w:pPr>
              <w:jc w:val="center"/>
            </w:pPr>
            <w:r w:rsidRPr="00C06AAA">
              <w:rPr>
                <w:rFonts w:cs="Times New Roman"/>
                <w:sz w:val="22"/>
                <w:szCs w:val="22"/>
              </w:rPr>
              <w:t>Cohen’s κ</w:t>
            </w:r>
          </w:p>
        </w:tc>
        <w:tc>
          <w:tcPr>
            <w:tcW w:w="120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0425FD5D" w14:textId="77777777" w:rsidR="00E92E2F" w:rsidRPr="00C06AAA" w:rsidRDefault="00000000" w:rsidP="00044ED7">
            <w:pPr>
              <w:jc w:val="center"/>
            </w:pPr>
            <w:r w:rsidRPr="00C06AAA">
              <w:rPr>
                <w:rFonts w:cs="Times New Roman"/>
                <w:sz w:val="22"/>
                <w:szCs w:val="22"/>
              </w:rPr>
              <w:t>.88</w:t>
            </w:r>
          </w:p>
        </w:tc>
        <w:tc>
          <w:tcPr>
            <w:tcW w:w="1214"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407591CE" w14:textId="77777777" w:rsidR="00E92E2F" w:rsidRPr="00C06AAA" w:rsidRDefault="00000000" w:rsidP="00044ED7">
            <w:pPr>
              <w:jc w:val="center"/>
            </w:pPr>
            <w:r w:rsidRPr="00C06AAA">
              <w:rPr>
                <w:rFonts w:cs="Times New Roman"/>
                <w:sz w:val="22"/>
                <w:szCs w:val="22"/>
              </w:rPr>
              <w:t>≥ .80</w:t>
            </w:r>
          </w:p>
        </w:tc>
      </w:tr>
    </w:tbl>
    <w:p w14:paraId="1004C064" w14:textId="77777777" w:rsidR="00E92E2F" w:rsidRPr="00C06AAA" w:rsidRDefault="00000000" w:rsidP="00044ED7">
      <w:pPr>
        <w:spacing w:before="40"/>
      </w:pPr>
      <w:r w:rsidRPr="00C06AAA">
        <w:rPr>
          <w:rFonts w:cs="Times New Roman"/>
          <w:i/>
          <w:iCs/>
          <w:sz w:val="22"/>
          <w:szCs w:val="22"/>
        </w:rPr>
        <w:t>Note. IOC = Index of Item-Objective Congruence; ICC = intraclass correlation coefficient. All indices met or exceeded their criteria, indicating strong content validity and reliability.</w:t>
      </w:r>
    </w:p>
    <w:p w14:paraId="21557FFE" w14:textId="77777777" w:rsidR="00E92E2F" w:rsidRPr="00C06AAA" w:rsidRDefault="00000000" w:rsidP="00044ED7">
      <w:pPr>
        <w:spacing w:line="276" w:lineRule="auto"/>
        <w:ind w:firstLine="480"/>
        <w:jc w:val="both"/>
      </w:pPr>
      <w:r w:rsidRPr="00C06AAA">
        <w:rPr>
          <w:rFonts w:cs="Times New Roman"/>
          <w:b/>
          <w:bCs/>
        </w:rPr>
        <w:t xml:space="preserve">Intervention fidelity. </w:t>
      </w:r>
      <w:r w:rsidRPr="00C06AAA">
        <w:rPr>
          <w:rFonts w:cs="Times New Roman"/>
        </w:rPr>
        <w:t>Session heart rate was logged with the Polar Team Pro system to verify that the two conditions differed in intensity as intended. The experimental group exercised within the prescribed zone (mean session HR = 84.10%± 3.60% HRmax; mean RPE = 7.20± 1.10 on the Borg CR10), whereas the control group remained well below it (mean HR = 58.70%± 4.90% HRmax; RPE = 3.10± 0.90), confirming a clear intensity contrast. Mean attendance was 92.50% (experimental) and 93.10% (control), and the Feeling Scale averaged +2.30 in the experimental group, indicating that the high-intensity sessions were experienced as pleasant rather than aversive.</w:t>
      </w:r>
    </w:p>
    <w:p w14:paraId="681BE792" w14:textId="77777777" w:rsidR="00E92E2F" w:rsidRPr="00C06AAA" w:rsidRDefault="00000000" w:rsidP="00044ED7">
      <w:pPr>
        <w:spacing w:line="276" w:lineRule="auto"/>
        <w:ind w:firstLine="480"/>
        <w:jc w:val="both"/>
      </w:pPr>
      <w:r w:rsidRPr="00C06AAA">
        <w:rPr>
          <w:rFonts w:cs="Times New Roman"/>
          <w:b/>
          <w:bCs/>
        </w:rPr>
        <w:t xml:space="preserve">Assumption testing. </w:t>
      </w:r>
      <w:r w:rsidRPr="00C06AAA">
        <w:rPr>
          <w:rFonts w:cs="Times New Roman"/>
        </w:rPr>
        <w:t>Before parametric inference, all assumptions were checked (Table 4). Shapiro–Wilk tests indicated normal distributions for every dependent variable, Levene’s tests confirmed homogeneity of variance, and Mauchly’s tests showed that sphericity held (ε &gt; .90 throughout), so no Greenhouse–Geisser correction was required. These results justified the mixed-design and repeated-measures ANOVAs that follow.</w:t>
      </w:r>
    </w:p>
    <w:p w14:paraId="118FC401" w14:textId="77777777" w:rsidR="00E92E2F" w:rsidRPr="00C06AAA" w:rsidRDefault="00000000" w:rsidP="00044ED7">
      <w:pPr>
        <w:keepNext/>
        <w:spacing w:before="160"/>
      </w:pPr>
      <w:r w:rsidRPr="00C06AAA">
        <w:rPr>
          <w:rFonts w:cs="Times New Roman"/>
          <w:b/>
          <w:bCs/>
        </w:rPr>
        <w:t>Table 4</w:t>
      </w:r>
      <w:r w:rsidRPr="00C06AAA">
        <w:rPr>
          <w:rFonts w:cs="Times New Roman"/>
        </w:rPr>
        <w:t xml:space="preserve"> Assumption-Testing Results for the Dependent Variables</w:t>
      </w:r>
    </w:p>
    <w:tbl>
      <w:tblPr>
        <w:tblW w:w="93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400"/>
        <w:gridCol w:w="1700"/>
        <w:gridCol w:w="1500"/>
        <w:gridCol w:w="1400"/>
        <w:gridCol w:w="1314"/>
      </w:tblGrid>
      <w:tr w:rsidR="00E92E2F" w:rsidRPr="00C06AAA" w14:paraId="5A1BC94F" w14:textId="77777777">
        <w:trPr>
          <w:tblHeader/>
        </w:trPr>
        <w:tc>
          <w:tcPr>
            <w:tcW w:w="340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535F066C" w14:textId="77777777" w:rsidR="00E92E2F" w:rsidRPr="00C06AAA" w:rsidRDefault="00000000" w:rsidP="00044ED7">
            <w:pPr>
              <w:jc w:val="center"/>
            </w:pPr>
            <w:r w:rsidRPr="00C06AAA">
              <w:rPr>
                <w:rFonts w:cs="Times New Roman"/>
                <w:b/>
                <w:bCs/>
                <w:sz w:val="22"/>
                <w:szCs w:val="22"/>
              </w:rPr>
              <w:t>Dependent variable</w:t>
            </w:r>
          </w:p>
        </w:tc>
        <w:tc>
          <w:tcPr>
            <w:tcW w:w="170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7F862F94" w14:textId="77777777" w:rsidR="00E92E2F" w:rsidRPr="00C06AAA" w:rsidRDefault="00000000" w:rsidP="00044ED7">
            <w:pPr>
              <w:jc w:val="center"/>
            </w:pPr>
            <w:r w:rsidRPr="00C06AAA">
              <w:rPr>
                <w:rFonts w:cs="Times New Roman"/>
                <w:b/>
                <w:bCs/>
                <w:sz w:val="22"/>
                <w:szCs w:val="22"/>
              </w:rPr>
              <w:t>Shapiro–Wilk P</w:t>
            </w:r>
          </w:p>
        </w:tc>
        <w:tc>
          <w:tcPr>
            <w:tcW w:w="150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59DC3281" w14:textId="77777777" w:rsidR="00E92E2F" w:rsidRPr="00C06AAA" w:rsidRDefault="00000000" w:rsidP="00044ED7">
            <w:pPr>
              <w:jc w:val="center"/>
            </w:pPr>
            <w:r w:rsidRPr="00C06AAA">
              <w:rPr>
                <w:rFonts w:cs="Times New Roman"/>
                <w:b/>
                <w:bCs/>
                <w:sz w:val="22"/>
                <w:szCs w:val="22"/>
              </w:rPr>
              <w:t>Levene P</w:t>
            </w:r>
          </w:p>
        </w:tc>
        <w:tc>
          <w:tcPr>
            <w:tcW w:w="140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6F8A74B9" w14:textId="77777777" w:rsidR="00E92E2F" w:rsidRPr="00C06AAA" w:rsidRDefault="00000000" w:rsidP="00044ED7">
            <w:pPr>
              <w:jc w:val="center"/>
            </w:pPr>
            <w:r w:rsidRPr="00C06AAA">
              <w:rPr>
                <w:rFonts w:cs="Times New Roman"/>
                <w:b/>
                <w:bCs/>
                <w:sz w:val="22"/>
                <w:szCs w:val="22"/>
              </w:rPr>
              <w:t>Mauchly P</w:t>
            </w:r>
          </w:p>
        </w:tc>
        <w:tc>
          <w:tcPr>
            <w:tcW w:w="1314"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2DACD2B2" w14:textId="77777777" w:rsidR="00E92E2F" w:rsidRPr="00C06AAA" w:rsidRDefault="00000000" w:rsidP="00044ED7">
            <w:pPr>
              <w:jc w:val="center"/>
            </w:pPr>
            <w:r w:rsidRPr="00C06AAA">
              <w:rPr>
                <w:rFonts w:cs="Times New Roman"/>
                <w:b/>
                <w:bCs/>
                <w:sz w:val="22"/>
                <w:szCs w:val="22"/>
              </w:rPr>
              <w:t>Decision</w:t>
            </w:r>
          </w:p>
        </w:tc>
      </w:tr>
      <w:tr w:rsidR="00E92E2F" w:rsidRPr="00C06AAA" w14:paraId="0C7C7639" w14:textId="77777777">
        <w:tc>
          <w:tcPr>
            <w:tcW w:w="3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706C2F3" w14:textId="77777777" w:rsidR="00E92E2F" w:rsidRPr="00C06AAA" w:rsidRDefault="00000000" w:rsidP="00044ED7">
            <w:r w:rsidRPr="00C06AAA">
              <w:rPr>
                <w:rFonts w:cs="Times New Roman"/>
                <w:sz w:val="22"/>
                <w:szCs w:val="22"/>
              </w:rPr>
              <w:t>Total badminton skill</w:t>
            </w:r>
          </w:p>
        </w:tc>
        <w:tc>
          <w:tcPr>
            <w:tcW w:w="17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971C9A7" w14:textId="77777777" w:rsidR="00E92E2F" w:rsidRPr="00C06AAA" w:rsidRDefault="00000000" w:rsidP="00044ED7">
            <w:pPr>
              <w:jc w:val="center"/>
            </w:pPr>
            <w:r w:rsidRPr="00C06AAA">
              <w:rPr>
                <w:rFonts w:cs="Times New Roman"/>
                <w:sz w:val="22"/>
                <w:szCs w:val="22"/>
              </w:rPr>
              <w:t>.34</w:t>
            </w:r>
          </w:p>
        </w:tc>
        <w:tc>
          <w:tcPr>
            <w:tcW w:w="15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D5202BA" w14:textId="77777777" w:rsidR="00E92E2F" w:rsidRPr="00C06AAA" w:rsidRDefault="00000000" w:rsidP="00044ED7">
            <w:pPr>
              <w:jc w:val="center"/>
            </w:pPr>
            <w:r w:rsidRPr="00C06AAA">
              <w:rPr>
                <w:rFonts w:cs="Times New Roman"/>
                <w:sz w:val="22"/>
                <w:szCs w:val="22"/>
              </w:rPr>
              <w:t>.51</w:t>
            </w:r>
          </w:p>
        </w:tc>
        <w:tc>
          <w:tcPr>
            <w:tcW w:w="1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E3F8B76" w14:textId="77777777" w:rsidR="00E92E2F" w:rsidRPr="00C06AAA" w:rsidRDefault="00000000" w:rsidP="00044ED7">
            <w:pPr>
              <w:jc w:val="center"/>
            </w:pPr>
            <w:r w:rsidRPr="00C06AAA">
              <w:rPr>
                <w:rFonts w:cs="Times New Roman"/>
                <w:sz w:val="22"/>
                <w:szCs w:val="22"/>
              </w:rPr>
              <w:t>.19</w:t>
            </w:r>
          </w:p>
        </w:tc>
        <w:tc>
          <w:tcPr>
            <w:tcW w:w="13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6D60B4D" w14:textId="77777777" w:rsidR="00E92E2F" w:rsidRPr="00C06AAA" w:rsidRDefault="00000000" w:rsidP="00044ED7">
            <w:pPr>
              <w:jc w:val="center"/>
            </w:pPr>
            <w:r w:rsidRPr="00C06AAA">
              <w:rPr>
                <w:rFonts w:cs="Times New Roman"/>
                <w:sz w:val="22"/>
                <w:szCs w:val="22"/>
              </w:rPr>
              <w:t>Met</w:t>
            </w:r>
          </w:p>
        </w:tc>
      </w:tr>
      <w:tr w:rsidR="00E92E2F" w:rsidRPr="00C06AAA" w14:paraId="10501691" w14:textId="77777777">
        <w:tc>
          <w:tcPr>
            <w:tcW w:w="3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DD015BE" w14:textId="77777777" w:rsidR="00E92E2F" w:rsidRPr="00C06AAA" w:rsidRDefault="00000000" w:rsidP="00044ED7">
            <w:r w:rsidRPr="00C06AAA">
              <w:rPr>
                <w:rFonts w:cs="Times New Roman"/>
                <w:sz w:val="22"/>
                <w:szCs w:val="22"/>
              </w:rPr>
              <w:t>CRF (VO₂max)</w:t>
            </w:r>
          </w:p>
        </w:tc>
        <w:tc>
          <w:tcPr>
            <w:tcW w:w="17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2DED3DE" w14:textId="77777777" w:rsidR="00E92E2F" w:rsidRPr="00C06AAA" w:rsidRDefault="00000000" w:rsidP="00044ED7">
            <w:pPr>
              <w:jc w:val="center"/>
            </w:pPr>
            <w:r w:rsidRPr="00C06AAA">
              <w:rPr>
                <w:rFonts w:cs="Times New Roman"/>
                <w:sz w:val="22"/>
                <w:szCs w:val="22"/>
              </w:rPr>
              <w:t>.29</w:t>
            </w:r>
          </w:p>
        </w:tc>
        <w:tc>
          <w:tcPr>
            <w:tcW w:w="15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972CE2E" w14:textId="77777777" w:rsidR="00E92E2F" w:rsidRPr="00C06AAA" w:rsidRDefault="00000000" w:rsidP="00044ED7">
            <w:pPr>
              <w:jc w:val="center"/>
            </w:pPr>
            <w:r w:rsidRPr="00C06AAA">
              <w:rPr>
                <w:rFonts w:cs="Times New Roman"/>
                <w:sz w:val="22"/>
                <w:szCs w:val="22"/>
              </w:rPr>
              <w:t>.48</w:t>
            </w:r>
          </w:p>
        </w:tc>
        <w:tc>
          <w:tcPr>
            <w:tcW w:w="1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45C8F14" w14:textId="77777777" w:rsidR="00E92E2F" w:rsidRPr="00C06AAA" w:rsidRDefault="00000000" w:rsidP="00044ED7">
            <w:pPr>
              <w:jc w:val="center"/>
            </w:pPr>
            <w:r w:rsidRPr="00C06AAA">
              <w:rPr>
                <w:rFonts w:cs="Times New Roman"/>
                <w:sz w:val="22"/>
                <w:szCs w:val="22"/>
              </w:rPr>
              <w:t>.22</w:t>
            </w:r>
          </w:p>
        </w:tc>
        <w:tc>
          <w:tcPr>
            <w:tcW w:w="13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DE9E055" w14:textId="77777777" w:rsidR="00E92E2F" w:rsidRPr="00C06AAA" w:rsidRDefault="00000000" w:rsidP="00044ED7">
            <w:pPr>
              <w:jc w:val="center"/>
            </w:pPr>
            <w:r w:rsidRPr="00C06AAA">
              <w:rPr>
                <w:rFonts w:cs="Times New Roman"/>
                <w:sz w:val="22"/>
                <w:szCs w:val="22"/>
              </w:rPr>
              <w:t>Met</w:t>
            </w:r>
          </w:p>
        </w:tc>
      </w:tr>
      <w:tr w:rsidR="00E92E2F" w:rsidRPr="00C06AAA" w14:paraId="4D690BC0" w14:textId="77777777">
        <w:tc>
          <w:tcPr>
            <w:tcW w:w="3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B7E6B8D" w14:textId="77777777" w:rsidR="00E92E2F" w:rsidRPr="00C06AAA" w:rsidRDefault="00000000" w:rsidP="00044ED7">
            <w:r w:rsidRPr="00C06AAA">
              <w:rPr>
                <w:rFonts w:cs="Times New Roman"/>
                <w:sz w:val="22"/>
                <w:szCs w:val="22"/>
              </w:rPr>
              <w:t>Curl-up</w:t>
            </w:r>
          </w:p>
        </w:tc>
        <w:tc>
          <w:tcPr>
            <w:tcW w:w="17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BF0E6DF" w14:textId="77777777" w:rsidR="00E92E2F" w:rsidRPr="00C06AAA" w:rsidRDefault="00000000" w:rsidP="00044ED7">
            <w:pPr>
              <w:jc w:val="center"/>
            </w:pPr>
            <w:r w:rsidRPr="00C06AAA">
              <w:rPr>
                <w:rFonts w:cs="Times New Roman"/>
                <w:sz w:val="22"/>
                <w:szCs w:val="22"/>
              </w:rPr>
              <w:t>.41</w:t>
            </w:r>
          </w:p>
        </w:tc>
        <w:tc>
          <w:tcPr>
            <w:tcW w:w="15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3D5F35F" w14:textId="77777777" w:rsidR="00E92E2F" w:rsidRPr="00C06AAA" w:rsidRDefault="00000000" w:rsidP="00044ED7">
            <w:pPr>
              <w:jc w:val="center"/>
            </w:pPr>
            <w:r w:rsidRPr="00C06AAA">
              <w:rPr>
                <w:rFonts w:cs="Times New Roman"/>
                <w:sz w:val="22"/>
                <w:szCs w:val="22"/>
              </w:rPr>
              <w:t>.61</w:t>
            </w:r>
          </w:p>
        </w:tc>
        <w:tc>
          <w:tcPr>
            <w:tcW w:w="1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1E64ED1" w14:textId="77777777" w:rsidR="00E92E2F" w:rsidRPr="00C06AAA" w:rsidRDefault="00000000" w:rsidP="00044ED7">
            <w:pPr>
              <w:jc w:val="center"/>
            </w:pPr>
            <w:r w:rsidRPr="00C06AAA">
              <w:rPr>
                <w:rFonts w:cs="Times New Roman"/>
                <w:sz w:val="22"/>
                <w:szCs w:val="22"/>
              </w:rPr>
              <w:t>.30</w:t>
            </w:r>
          </w:p>
        </w:tc>
        <w:tc>
          <w:tcPr>
            <w:tcW w:w="13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B6A7075" w14:textId="77777777" w:rsidR="00E92E2F" w:rsidRPr="00C06AAA" w:rsidRDefault="00000000" w:rsidP="00044ED7">
            <w:pPr>
              <w:jc w:val="center"/>
            </w:pPr>
            <w:r w:rsidRPr="00C06AAA">
              <w:rPr>
                <w:rFonts w:cs="Times New Roman"/>
                <w:sz w:val="22"/>
                <w:szCs w:val="22"/>
              </w:rPr>
              <w:t>Met</w:t>
            </w:r>
          </w:p>
        </w:tc>
      </w:tr>
      <w:tr w:rsidR="00E92E2F" w:rsidRPr="00C06AAA" w14:paraId="7293453F" w14:textId="77777777">
        <w:tc>
          <w:tcPr>
            <w:tcW w:w="3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1F49705" w14:textId="77777777" w:rsidR="00E92E2F" w:rsidRPr="00C06AAA" w:rsidRDefault="00000000" w:rsidP="00044ED7">
            <w:r w:rsidRPr="00C06AAA">
              <w:rPr>
                <w:rFonts w:cs="Times New Roman"/>
                <w:sz w:val="22"/>
                <w:szCs w:val="22"/>
              </w:rPr>
              <w:t>Push-up</w:t>
            </w:r>
          </w:p>
        </w:tc>
        <w:tc>
          <w:tcPr>
            <w:tcW w:w="17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F528597" w14:textId="77777777" w:rsidR="00E92E2F" w:rsidRPr="00C06AAA" w:rsidRDefault="00000000" w:rsidP="00044ED7">
            <w:pPr>
              <w:jc w:val="center"/>
            </w:pPr>
            <w:r w:rsidRPr="00C06AAA">
              <w:rPr>
                <w:rFonts w:cs="Times New Roman"/>
                <w:sz w:val="22"/>
                <w:szCs w:val="22"/>
              </w:rPr>
              <w:t>.38</w:t>
            </w:r>
          </w:p>
        </w:tc>
        <w:tc>
          <w:tcPr>
            <w:tcW w:w="15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BDBC57B" w14:textId="77777777" w:rsidR="00E92E2F" w:rsidRPr="00C06AAA" w:rsidRDefault="00000000" w:rsidP="00044ED7">
            <w:pPr>
              <w:jc w:val="center"/>
            </w:pPr>
            <w:r w:rsidRPr="00C06AAA">
              <w:rPr>
                <w:rFonts w:cs="Times New Roman"/>
                <w:sz w:val="22"/>
                <w:szCs w:val="22"/>
              </w:rPr>
              <w:t>.54</w:t>
            </w:r>
          </w:p>
        </w:tc>
        <w:tc>
          <w:tcPr>
            <w:tcW w:w="1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933A813" w14:textId="77777777" w:rsidR="00E92E2F" w:rsidRPr="00C06AAA" w:rsidRDefault="00000000" w:rsidP="00044ED7">
            <w:pPr>
              <w:jc w:val="center"/>
            </w:pPr>
            <w:r w:rsidRPr="00C06AAA">
              <w:rPr>
                <w:rFonts w:cs="Times New Roman"/>
                <w:sz w:val="22"/>
                <w:szCs w:val="22"/>
              </w:rPr>
              <w:t>.27</w:t>
            </w:r>
          </w:p>
        </w:tc>
        <w:tc>
          <w:tcPr>
            <w:tcW w:w="13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DC390B6" w14:textId="77777777" w:rsidR="00E92E2F" w:rsidRPr="00C06AAA" w:rsidRDefault="00000000" w:rsidP="00044ED7">
            <w:pPr>
              <w:jc w:val="center"/>
            </w:pPr>
            <w:r w:rsidRPr="00C06AAA">
              <w:rPr>
                <w:rFonts w:cs="Times New Roman"/>
                <w:sz w:val="22"/>
                <w:szCs w:val="22"/>
              </w:rPr>
              <w:t>Met</w:t>
            </w:r>
          </w:p>
        </w:tc>
      </w:tr>
      <w:tr w:rsidR="00E92E2F" w:rsidRPr="00C06AAA" w14:paraId="01452F23" w14:textId="77777777">
        <w:tc>
          <w:tcPr>
            <w:tcW w:w="3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6D46565" w14:textId="77777777" w:rsidR="00E92E2F" w:rsidRPr="00C06AAA" w:rsidRDefault="00000000" w:rsidP="00044ED7">
            <w:r w:rsidRPr="00C06AAA">
              <w:rPr>
                <w:rFonts w:cs="Times New Roman"/>
                <w:sz w:val="22"/>
                <w:szCs w:val="22"/>
              </w:rPr>
              <w:t>Sit-and-reach</w:t>
            </w:r>
          </w:p>
        </w:tc>
        <w:tc>
          <w:tcPr>
            <w:tcW w:w="17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D428F8F" w14:textId="77777777" w:rsidR="00E92E2F" w:rsidRPr="00C06AAA" w:rsidRDefault="00000000" w:rsidP="00044ED7">
            <w:pPr>
              <w:jc w:val="center"/>
            </w:pPr>
            <w:r w:rsidRPr="00C06AAA">
              <w:rPr>
                <w:rFonts w:cs="Times New Roman"/>
                <w:sz w:val="22"/>
                <w:szCs w:val="22"/>
              </w:rPr>
              <w:t>.46</w:t>
            </w:r>
          </w:p>
        </w:tc>
        <w:tc>
          <w:tcPr>
            <w:tcW w:w="15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D8A3FCF" w14:textId="77777777" w:rsidR="00E92E2F" w:rsidRPr="00C06AAA" w:rsidRDefault="00000000" w:rsidP="00044ED7">
            <w:pPr>
              <w:jc w:val="center"/>
            </w:pPr>
            <w:r w:rsidRPr="00C06AAA">
              <w:rPr>
                <w:rFonts w:cs="Times New Roman"/>
                <w:sz w:val="22"/>
                <w:szCs w:val="22"/>
              </w:rPr>
              <w:t>.72</w:t>
            </w:r>
          </w:p>
        </w:tc>
        <w:tc>
          <w:tcPr>
            <w:tcW w:w="1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BBEC064" w14:textId="77777777" w:rsidR="00E92E2F" w:rsidRPr="00C06AAA" w:rsidRDefault="00000000" w:rsidP="00044ED7">
            <w:pPr>
              <w:jc w:val="center"/>
            </w:pPr>
            <w:r w:rsidRPr="00C06AAA">
              <w:rPr>
                <w:rFonts w:cs="Times New Roman"/>
                <w:sz w:val="22"/>
                <w:szCs w:val="22"/>
              </w:rPr>
              <w:t>.19</w:t>
            </w:r>
          </w:p>
        </w:tc>
        <w:tc>
          <w:tcPr>
            <w:tcW w:w="13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FE78E26" w14:textId="77777777" w:rsidR="00E92E2F" w:rsidRPr="00C06AAA" w:rsidRDefault="00000000" w:rsidP="00044ED7">
            <w:pPr>
              <w:jc w:val="center"/>
            </w:pPr>
            <w:r w:rsidRPr="00C06AAA">
              <w:rPr>
                <w:rFonts w:cs="Times New Roman"/>
                <w:sz w:val="22"/>
                <w:szCs w:val="22"/>
              </w:rPr>
              <w:t>Met</w:t>
            </w:r>
          </w:p>
        </w:tc>
      </w:tr>
      <w:tr w:rsidR="00E92E2F" w:rsidRPr="00C06AAA" w14:paraId="70D56C2F" w14:textId="77777777">
        <w:tc>
          <w:tcPr>
            <w:tcW w:w="3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62DF155" w14:textId="77777777" w:rsidR="00E92E2F" w:rsidRPr="00C06AAA" w:rsidRDefault="00000000" w:rsidP="00044ED7">
            <w:r w:rsidRPr="00C06AAA">
              <w:rPr>
                <w:rFonts w:cs="Times New Roman"/>
                <w:sz w:val="22"/>
                <w:szCs w:val="22"/>
              </w:rPr>
              <w:t>BMI</w:t>
            </w:r>
          </w:p>
        </w:tc>
        <w:tc>
          <w:tcPr>
            <w:tcW w:w="17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B903CBF" w14:textId="77777777" w:rsidR="00E92E2F" w:rsidRPr="00C06AAA" w:rsidRDefault="00000000" w:rsidP="00044ED7">
            <w:pPr>
              <w:jc w:val="center"/>
            </w:pPr>
            <w:r w:rsidRPr="00C06AAA">
              <w:rPr>
                <w:rFonts w:cs="Times New Roman"/>
                <w:sz w:val="22"/>
                <w:szCs w:val="22"/>
              </w:rPr>
              <w:t>.52</w:t>
            </w:r>
          </w:p>
        </w:tc>
        <w:tc>
          <w:tcPr>
            <w:tcW w:w="15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7773BC9" w14:textId="77777777" w:rsidR="00E92E2F" w:rsidRPr="00C06AAA" w:rsidRDefault="00000000" w:rsidP="00044ED7">
            <w:pPr>
              <w:jc w:val="center"/>
            </w:pPr>
            <w:r w:rsidRPr="00C06AAA">
              <w:rPr>
                <w:rFonts w:cs="Times New Roman"/>
                <w:sz w:val="22"/>
                <w:szCs w:val="22"/>
              </w:rPr>
              <w:t>.69</w:t>
            </w:r>
          </w:p>
        </w:tc>
        <w:tc>
          <w:tcPr>
            <w:tcW w:w="1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43D640A" w14:textId="77777777" w:rsidR="00E92E2F" w:rsidRPr="00C06AAA" w:rsidRDefault="00000000" w:rsidP="00044ED7">
            <w:pPr>
              <w:jc w:val="center"/>
            </w:pPr>
            <w:r w:rsidRPr="00C06AAA">
              <w:rPr>
                <w:rFonts w:cs="Times New Roman"/>
                <w:sz w:val="22"/>
                <w:szCs w:val="22"/>
              </w:rPr>
              <w:t>.35</w:t>
            </w:r>
          </w:p>
        </w:tc>
        <w:tc>
          <w:tcPr>
            <w:tcW w:w="13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2339B30" w14:textId="77777777" w:rsidR="00E92E2F" w:rsidRPr="00C06AAA" w:rsidRDefault="00000000" w:rsidP="00044ED7">
            <w:pPr>
              <w:jc w:val="center"/>
            </w:pPr>
            <w:r w:rsidRPr="00C06AAA">
              <w:rPr>
                <w:rFonts w:cs="Times New Roman"/>
                <w:sz w:val="22"/>
                <w:szCs w:val="22"/>
              </w:rPr>
              <w:t>Met</w:t>
            </w:r>
          </w:p>
        </w:tc>
      </w:tr>
      <w:tr w:rsidR="00E92E2F" w:rsidRPr="00C06AAA" w14:paraId="73E5C576" w14:textId="77777777">
        <w:tc>
          <w:tcPr>
            <w:tcW w:w="340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46A4288E" w14:textId="77777777" w:rsidR="00E92E2F" w:rsidRPr="00C06AAA" w:rsidRDefault="00000000" w:rsidP="00044ED7">
            <w:r w:rsidRPr="00C06AAA">
              <w:rPr>
                <w:rFonts w:cs="Times New Roman"/>
                <w:sz w:val="22"/>
                <w:szCs w:val="22"/>
              </w:rPr>
              <w:t>Attitude toward exercise</w:t>
            </w:r>
          </w:p>
        </w:tc>
        <w:tc>
          <w:tcPr>
            <w:tcW w:w="170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22B4B591" w14:textId="77777777" w:rsidR="00E92E2F" w:rsidRPr="00C06AAA" w:rsidRDefault="00000000" w:rsidP="00044ED7">
            <w:pPr>
              <w:jc w:val="center"/>
            </w:pPr>
            <w:r w:rsidRPr="00C06AAA">
              <w:rPr>
                <w:rFonts w:cs="Times New Roman"/>
                <w:sz w:val="22"/>
                <w:szCs w:val="22"/>
              </w:rPr>
              <w:t>.40</w:t>
            </w:r>
          </w:p>
        </w:tc>
        <w:tc>
          <w:tcPr>
            <w:tcW w:w="150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09A63753" w14:textId="77777777" w:rsidR="00E92E2F" w:rsidRPr="00C06AAA" w:rsidRDefault="00000000" w:rsidP="00044ED7">
            <w:pPr>
              <w:jc w:val="center"/>
            </w:pPr>
            <w:r w:rsidRPr="00C06AAA">
              <w:rPr>
                <w:rFonts w:cs="Times New Roman"/>
                <w:sz w:val="22"/>
                <w:szCs w:val="22"/>
              </w:rPr>
              <w:t>.58</w:t>
            </w:r>
          </w:p>
        </w:tc>
        <w:tc>
          <w:tcPr>
            <w:tcW w:w="140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48A50EBE" w14:textId="77777777" w:rsidR="00E92E2F" w:rsidRPr="00C06AAA" w:rsidRDefault="00000000" w:rsidP="00044ED7">
            <w:pPr>
              <w:jc w:val="center"/>
            </w:pPr>
            <w:r w:rsidRPr="00C06AAA">
              <w:rPr>
                <w:rFonts w:cs="Times New Roman"/>
                <w:sz w:val="22"/>
                <w:szCs w:val="22"/>
              </w:rPr>
              <w:t>.21</w:t>
            </w:r>
          </w:p>
        </w:tc>
        <w:tc>
          <w:tcPr>
            <w:tcW w:w="1314"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7F337393" w14:textId="77777777" w:rsidR="00E92E2F" w:rsidRPr="00C06AAA" w:rsidRDefault="00000000" w:rsidP="00044ED7">
            <w:pPr>
              <w:jc w:val="center"/>
            </w:pPr>
            <w:r w:rsidRPr="00C06AAA">
              <w:rPr>
                <w:rFonts w:cs="Times New Roman"/>
                <w:sz w:val="22"/>
                <w:szCs w:val="22"/>
              </w:rPr>
              <w:t>Met</w:t>
            </w:r>
          </w:p>
        </w:tc>
      </w:tr>
    </w:tbl>
    <w:p w14:paraId="50D531D5" w14:textId="77777777" w:rsidR="00E92E2F" w:rsidRPr="00C06AAA" w:rsidRDefault="00000000" w:rsidP="00044ED7">
      <w:pPr>
        <w:spacing w:before="40"/>
      </w:pPr>
      <w:r w:rsidRPr="00C06AAA">
        <w:rPr>
          <w:rFonts w:cs="Times New Roman"/>
          <w:i/>
          <w:iCs/>
          <w:sz w:val="22"/>
          <w:szCs w:val="22"/>
        </w:rPr>
        <w:t>Note. An assumption is met when P &gt; .05. Sphericity held for all variables (ε &gt; .90), so no correction was applied.</w:t>
      </w:r>
    </w:p>
    <w:p w14:paraId="1DE59CDC" w14:textId="77777777" w:rsidR="00E92E2F" w:rsidRPr="00C06AAA" w:rsidRDefault="00000000" w:rsidP="00044ED7">
      <w:pPr>
        <w:spacing w:line="276" w:lineRule="auto"/>
        <w:ind w:firstLine="480"/>
        <w:jc w:val="both"/>
      </w:pPr>
      <w:r w:rsidRPr="00C06AAA">
        <w:rPr>
          <w:rFonts w:cs="Times New Roman"/>
          <w:b/>
          <w:bCs/>
        </w:rPr>
        <w:t xml:space="preserve">Between-group effects (H1–H3). </w:t>
      </w:r>
      <w:r w:rsidRPr="00C06AAA">
        <w:rPr>
          <w:rFonts w:cs="Times New Roman"/>
        </w:rPr>
        <w:t xml:space="preserve">Descriptive trends already diverge sharply by the posttest (Table 5): the experimental group gained +31.90% in badminton skill, +19.80% in cardiorespiratory fitness, and +33.40% in attitude, against control gains of +11.20%, +4.30%, and +10.20%, respectively. The 2 × 3 mixed-design ANOVA (Table 6) confirmed a statistically significant Group × Time interaction for every dependent variable. The interaction was large for badminton skill, F(2, 76) = 42.17, *P &lt; .001, η²p = .53; for attitude, F(2, 76) = 28.74, *P &lt; .001, η²p = .43; and across the fitness components, with η²p ranging from .15 (BMI) to .51 </w:t>
      </w:r>
      <w:r w:rsidRPr="00C06AAA">
        <w:rPr>
          <w:rFonts w:cs="Times New Roman"/>
        </w:rPr>
        <w:lastRenderedPageBreak/>
        <w:t>(cardiorespiratory fitness). All eight interaction tests survived Benjamini–Hochberg FDR correction at q = .05, indicating the effects are not attributable to Type I error inflation. Hypotheses H1, H2, and H3 were therefore supported.</w:t>
      </w:r>
    </w:p>
    <w:p w14:paraId="0CBF6DA8" w14:textId="77777777" w:rsidR="00E92E2F" w:rsidRPr="00C06AAA" w:rsidRDefault="00000000" w:rsidP="00044ED7">
      <w:pPr>
        <w:keepNext/>
        <w:spacing w:before="160"/>
      </w:pPr>
      <w:r w:rsidRPr="00C06AAA">
        <w:rPr>
          <w:rFonts w:cs="Times New Roman"/>
          <w:b/>
          <w:bCs/>
        </w:rPr>
        <w:t>Table 5</w:t>
      </w:r>
      <w:r w:rsidRPr="00C06AAA">
        <w:rPr>
          <w:rFonts w:cs="Times New Roman"/>
        </w:rPr>
        <w:t xml:space="preserve"> Means and Standard Deviations of Dependent Variables across Three Measurement Occasions (M ± SD)</w:t>
      </w:r>
    </w:p>
    <w:tbl>
      <w:tblPr>
        <w:tblW w:w="93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2954"/>
        <w:gridCol w:w="1640"/>
        <w:gridCol w:w="1640"/>
        <w:gridCol w:w="1640"/>
        <w:gridCol w:w="1440"/>
      </w:tblGrid>
      <w:tr w:rsidR="00E92E2F" w:rsidRPr="00C06AAA" w14:paraId="5C965F14" w14:textId="77777777">
        <w:trPr>
          <w:tblHeader/>
        </w:trPr>
        <w:tc>
          <w:tcPr>
            <w:tcW w:w="2954"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26DE6F52" w14:textId="77777777" w:rsidR="00E92E2F" w:rsidRPr="00C06AAA" w:rsidRDefault="00000000" w:rsidP="00044ED7">
            <w:pPr>
              <w:jc w:val="center"/>
            </w:pPr>
            <w:r w:rsidRPr="00C06AAA">
              <w:rPr>
                <w:rFonts w:cs="Times New Roman"/>
                <w:b/>
                <w:bCs/>
                <w:sz w:val="22"/>
                <w:szCs w:val="22"/>
              </w:rPr>
              <w:t>Variable / Group</w:t>
            </w:r>
          </w:p>
        </w:tc>
        <w:tc>
          <w:tcPr>
            <w:tcW w:w="164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3E61537D" w14:textId="77777777" w:rsidR="00E92E2F" w:rsidRPr="00C06AAA" w:rsidRDefault="00000000" w:rsidP="00044ED7">
            <w:pPr>
              <w:jc w:val="center"/>
            </w:pPr>
            <w:r w:rsidRPr="00C06AAA">
              <w:rPr>
                <w:rFonts w:cs="Times New Roman"/>
                <w:b/>
                <w:bCs/>
                <w:sz w:val="22"/>
                <w:szCs w:val="22"/>
              </w:rPr>
              <w:t>Pretest</w:t>
            </w:r>
          </w:p>
        </w:tc>
        <w:tc>
          <w:tcPr>
            <w:tcW w:w="164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36CCACD1" w14:textId="77777777" w:rsidR="00E92E2F" w:rsidRPr="00C06AAA" w:rsidRDefault="00000000" w:rsidP="00044ED7">
            <w:pPr>
              <w:jc w:val="center"/>
            </w:pPr>
            <w:r w:rsidRPr="00C06AAA">
              <w:rPr>
                <w:rFonts w:cs="Times New Roman"/>
                <w:b/>
                <w:bCs/>
                <w:sz w:val="22"/>
                <w:szCs w:val="22"/>
              </w:rPr>
              <w:t>Midtest</w:t>
            </w:r>
          </w:p>
        </w:tc>
        <w:tc>
          <w:tcPr>
            <w:tcW w:w="164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650E8F90" w14:textId="77777777" w:rsidR="00E92E2F" w:rsidRPr="00C06AAA" w:rsidRDefault="00000000" w:rsidP="00044ED7">
            <w:pPr>
              <w:jc w:val="center"/>
            </w:pPr>
            <w:r w:rsidRPr="00C06AAA">
              <w:rPr>
                <w:rFonts w:cs="Times New Roman"/>
                <w:b/>
                <w:bCs/>
                <w:sz w:val="22"/>
                <w:szCs w:val="22"/>
              </w:rPr>
              <w:t>Posttest</w:t>
            </w:r>
          </w:p>
        </w:tc>
        <w:tc>
          <w:tcPr>
            <w:tcW w:w="144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7AA665A5" w14:textId="77777777" w:rsidR="00E92E2F" w:rsidRPr="00C06AAA" w:rsidRDefault="00000000" w:rsidP="00044ED7">
            <w:pPr>
              <w:jc w:val="center"/>
            </w:pPr>
            <w:r w:rsidRPr="00C06AAA">
              <w:rPr>
                <w:rFonts w:cs="Times New Roman"/>
                <w:b/>
                <w:bCs/>
                <w:sz w:val="22"/>
                <w:szCs w:val="22"/>
              </w:rPr>
              <w:t>Δ (%)</w:t>
            </w:r>
          </w:p>
        </w:tc>
      </w:tr>
      <w:tr w:rsidR="00E92E2F" w:rsidRPr="00C06AAA" w14:paraId="2BBDB5FF" w14:textId="77777777">
        <w:tc>
          <w:tcPr>
            <w:tcW w:w="295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FCA70F0" w14:textId="77777777" w:rsidR="00E92E2F" w:rsidRPr="00C06AAA" w:rsidRDefault="00000000" w:rsidP="00044ED7">
            <w:r w:rsidRPr="00C06AAA">
              <w:rPr>
                <w:rFonts w:cs="Times New Roman"/>
                <w:sz w:val="22"/>
                <w:szCs w:val="22"/>
              </w:rPr>
              <w:t>Badminton skill — Exp.</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45B6587" w14:textId="77777777" w:rsidR="00E92E2F" w:rsidRPr="00C06AAA" w:rsidRDefault="00000000" w:rsidP="00044ED7">
            <w:pPr>
              <w:jc w:val="center"/>
            </w:pPr>
            <w:r w:rsidRPr="00C06AAA">
              <w:rPr>
                <w:rFonts w:cs="Times New Roman"/>
                <w:sz w:val="22"/>
                <w:szCs w:val="22"/>
              </w:rPr>
              <w:t>152.80 ± 18.70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152CAAE" w14:textId="77777777" w:rsidR="00E92E2F" w:rsidRPr="00C06AAA" w:rsidRDefault="00000000" w:rsidP="00044ED7">
            <w:pPr>
              <w:jc w:val="center"/>
            </w:pPr>
            <w:r w:rsidRPr="00C06AAA">
              <w:rPr>
                <w:rFonts w:cs="Times New Roman"/>
                <w:sz w:val="22"/>
                <w:szCs w:val="22"/>
              </w:rPr>
              <w:t>176.30 ± 17.40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0363880" w14:textId="77777777" w:rsidR="00E92E2F" w:rsidRPr="00C06AAA" w:rsidRDefault="00000000" w:rsidP="00044ED7">
            <w:pPr>
              <w:jc w:val="center"/>
            </w:pPr>
            <w:r w:rsidRPr="00C06AAA">
              <w:rPr>
                <w:rFonts w:cs="Times New Roman"/>
                <w:sz w:val="22"/>
                <w:szCs w:val="22"/>
              </w:rPr>
              <w:t>201.50 ± 16.80</w:t>
            </w:r>
          </w:p>
        </w:tc>
        <w:tc>
          <w:tcPr>
            <w:tcW w:w="14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B223E52" w14:textId="77777777" w:rsidR="00E92E2F" w:rsidRPr="00C06AAA" w:rsidRDefault="00000000" w:rsidP="00044ED7">
            <w:pPr>
              <w:jc w:val="center"/>
            </w:pPr>
            <w:r w:rsidRPr="00C06AAA">
              <w:rPr>
                <w:rFonts w:cs="Times New Roman"/>
                <w:sz w:val="22"/>
                <w:szCs w:val="22"/>
              </w:rPr>
              <w:t>+31.90</w:t>
            </w:r>
          </w:p>
        </w:tc>
      </w:tr>
      <w:tr w:rsidR="00E92E2F" w:rsidRPr="00C06AAA" w14:paraId="0728DA63" w14:textId="77777777">
        <w:tc>
          <w:tcPr>
            <w:tcW w:w="295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7FBB036" w14:textId="77777777" w:rsidR="00E92E2F" w:rsidRPr="00C06AAA" w:rsidRDefault="00000000" w:rsidP="00044ED7">
            <w:r w:rsidRPr="00C06AAA">
              <w:rPr>
                <w:rFonts w:cs="Times New Roman"/>
                <w:sz w:val="22"/>
                <w:szCs w:val="22"/>
              </w:rPr>
              <w:t>Badminton skill — Ctrl.</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DA3C069" w14:textId="77777777" w:rsidR="00E92E2F" w:rsidRPr="00C06AAA" w:rsidRDefault="00000000" w:rsidP="00044ED7">
            <w:pPr>
              <w:jc w:val="center"/>
            </w:pPr>
            <w:r w:rsidRPr="00C06AAA">
              <w:rPr>
                <w:rFonts w:cs="Times New Roman"/>
                <w:sz w:val="22"/>
                <w:szCs w:val="22"/>
              </w:rPr>
              <w:t>150.40 ± 19.50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E197036" w14:textId="77777777" w:rsidR="00E92E2F" w:rsidRPr="00C06AAA" w:rsidRDefault="00000000" w:rsidP="00044ED7">
            <w:pPr>
              <w:jc w:val="center"/>
            </w:pPr>
            <w:r w:rsidRPr="00C06AAA">
              <w:rPr>
                <w:rFonts w:cs="Times New Roman"/>
                <w:sz w:val="22"/>
                <w:szCs w:val="22"/>
              </w:rPr>
              <w:t>159.10 ± 19.00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0F28909" w14:textId="77777777" w:rsidR="00E92E2F" w:rsidRPr="00C06AAA" w:rsidRDefault="00000000" w:rsidP="00044ED7">
            <w:pPr>
              <w:jc w:val="center"/>
            </w:pPr>
            <w:r w:rsidRPr="00C06AAA">
              <w:rPr>
                <w:rFonts w:cs="Times New Roman"/>
                <w:sz w:val="22"/>
                <w:szCs w:val="22"/>
              </w:rPr>
              <w:t>167.20 ± 18.50</w:t>
            </w:r>
          </w:p>
        </w:tc>
        <w:tc>
          <w:tcPr>
            <w:tcW w:w="14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37FC155" w14:textId="77777777" w:rsidR="00E92E2F" w:rsidRPr="00C06AAA" w:rsidRDefault="00000000" w:rsidP="00044ED7">
            <w:pPr>
              <w:jc w:val="center"/>
            </w:pPr>
            <w:r w:rsidRPr="00C06AAA">
              <w:rPr>
                <w:rFonts w:cs="Times New Roman"/>
                <w:sz w:val="22"/>
                <w:szCs w:val="22"/>
              </w:rPr>
              <w:t>+11.20</w:t>
            </w:r>
          </w:p>
        </w:tc>
      </w:tr>
      <w:tr w:rsidR="00E92E2F" w:rsidRPr="00C06AAA" w14:paraId="38A1CB7E" w14:textId="77777777">
        <w:tc>
          <w:tcPr>
            <w:tcW w:w="295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54EB43F" w14:textId="77777777" w:rsidR="00E92E2F" w:rsidRPr="00C06AAA" w:rsidRDefault="00000000" w:rsidP="00044ED7">
            <w:r w:rsidRPr="00C06AAA">
              <w:rPr>
                <w:rFonts w:cs="Times New Roman"/>
                <w:sz w:val="22"/>
                <w:szCs w:val="22"/>
              </w:rPr>
              <w:t>CRF VO₂max — Exp.</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765BC23" w14:textId="77777777" w:rsidR="00E92E2F" w:rsidRPr="00C06AAA" w:rsidRDefault="00000000" w:rsidP="00044ED7">
            <w:pPr>
              <w:jc w:val="center"/>
            </w:pPr>
            <w:r w:rsidRPr="00C06AAA">
              <w:rPr>
                <w:rFonts w:cs="Times New Roman"/>
                <w:sz w:val="22"/>
                <w:szCs w:val="22"/>
              </w:rPr>
              <w:t>39.40 ± 4.20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4EF7019" w14:textId="77777777" w:rsidR="00E92E2F" w:rsidRPr="00C06AAA" w:rsidRDefault="00000000" w:rsidP="00044ED7">
            <w:pPr>
              <w:jc w:val="center"/>
            </w:pPr>
            <w:r w:rsidRPr="00C06AAA">
              <w:rPr>
                <w:rFonts w:cs="Times New Roman"/>
                <w:sz w:val="22"/>
                <w:szCs w:val="22"/>
              </w:rPr>
              <w:t>43.60 ± 4.00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0AC196B" w14:textId="77777777" w:rsidR="00E92E2F" w:rsidRPr="00C06AAA" w:rsidRDefault="00000000" w:rsidP="00044ED7">
            <w:pPr>
              <w:jc w:val="center"/>
            </w:pPr>
            <w:r w:rsidRPr="00C06AAA">
              <w:rPr>
                <w:rFonts w:cs="Times New Roman"/>
                <w:sz w:val="22"/>
                <w:szCs w:val="22"/>
              </w:rPr>
              <w:t>47.20 ± 3.80</w:t>
            </w:r>
          </w:p>
        </w:tc>
        <w:tc>
          <w:tcPr>
            <w:tcW w:w="14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557E967" w14:textId="77777777" w:rsidR="00E92E2F" w:rsidRPr="00C06AAA" w:rsidRDefault="00000000" w:rsidP="00044ED7">
            <w:pPr>
              <w:jc w:val="center"/>
            </w:pPr>
            <w:r w:rsidRPr="00C06AAA">
              <w:rPr>
                <w:rFonts w:cs="Times New Roman"/>
                <w:sz w:val="22"/>
                <w:szCs w:val="22"/>
              </w:rPr>
              <w:t>+19.80</w:t>
            </w:r>
          </w:p>
        </w:tc>
      </w:tr>
      <w:tr w:rsidR="00E92E2F" w:rsidRPr="00C06AAA" w14:paraId="0FE984E6" w14:textId="77777777">
        <w:tc>
          <w:tcPr>
            <w:tcW w:w="295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20867A8" w14:textId="77777777" w:rsidR="00E92E2F" w:rsidRPr="00C06AAA" w:rsidRDefault="00000000" w:rsidP="00044ED7">
            <w:r w:rsidRPr="00C06AAA">
              <w:rPr>
                <w:rFonts w:cs="Times New Roman"/>
                <w:sz w:val="22"/>
                <w:szCs w:val="22"/>
              </w:rPr>
              <w:t>CRF VO₂max — Ctrl.</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77D6B6E" w14:textId="77777777" w:rsidR="00E92E2F" w:rsidRPr="00C06AAA" w:rsidRDefault="00000000" w:rsidP="00044ED7">
            <w:pPr>
              <w:jc w:val="center"/>
            </w:pPr>
            <w:r w:rsidRPr="00C06AAA">
              <w:rPr>
                <w:rFonts w:cs="Times New Roman"/>
                <w:sz w:val="22"/>
                <w:szCs w:val="22"/>
              </w:rPr>
              <w:t>39.80 ± 4.50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18F14CE" w14:textId="77777777" w:rsidR="00E92E2F" w:rsidRPr="00C06AAA" w:rsidRDefault="00000000" w:rsidP="00044ED7">
            <w:pPr>
              <w:jc w:val="center"/>
            </w:pPr>
            <w:r w:rsidRPr="00C06AAA">
              <w:rPr>
                <w:rFonts w:cs="Times New Roman"/>
                <w:sz w:val="22"/>
                <w:szCs w:val="22"/>
              </w:rPr>
              <w:t>40.70 ± 4.30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91E055F" w14:textId="77777777" w:rsidR="00E92E2F" w:rsidRPr="00C06AAA" w:rsidRDefault="00000000" w:rsidP="00044ED7">
            <w:pPr>
              <w:jc w:val="center"/>
            </w:pPr>
            <w:r w:rsidRPr="00C06AAA">
              <w:rPr>
                <w:rFonts w:cs="Times New Roman"/>
                <w:sz w:val="22"/>
                <w:szCs w:val="22"/>
              </w:rPr>
              <w:t>41.50 ± 4.40</w:t>
            </w:r>
          </w:p>
        </w:tc>
        <w:tc>
          <w:tcPr>
            <w:tcW w:w="14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FC0BB98" w14:textId="77777777" w:rsidR="00E92E2F" w:rsidRPr="00C06AAA" w:rsidRDefault="00000000" w:rsidP="00044ED7">
            <w:pPr>
              <w:jc w:val="center"/>
            </w:pPr>
            <w:r w:rsidRPr="00C06AAA">
              <w:rPr>
                <w:rFonts w:cs="Times New Roman"/>
                <w:sz w:val="22"/>
                <w:szCs w:val="22"/>
              </w:rPr>
              <w:t>+4.30</w:t>
            </w:r>
          </w:p>
        </w:tc>
      </w:tr>
      <w:tr w:rsidR="00E92E2F" w:rsidRPr="00C06AAA" w14:paraId="276572B3" w14:textId="77777777">
        <w:tc>
          <w:tcPr>
            <w:tcW w:w="295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C9C1465" w14:textId="77777777" w:rsidR="00E92E2F" w:rsidRPr="00C06AAA" w:rsidRDefault="00000000" w:rsidP="00044ED7">
            <w:r w:rsidRPr="00C06AAA">
              <w:rPr>
                <w:rFonts w:cs="Times New Roman"/>
                <w:sz w:val="22"/>
                <w:szCs w:val="22"/>
              </w:rPr>
              <w:t>Curl-up — Exp.</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AC719F1" w14:textId="77777777" w:rsidR="00E92E2F" w:rsidRPr="00C06AAA" w:rsidRDefault="00000000" w:rsidP="00044ED7">
            <w:pPr>
              <w:jc w:val="center"/>
            </w:pPr>
            <w:r w:rsidRPr="00C06AAA">
              <w:rPr>
                <w:rFonts w:cs="Times New Roman"/>
                <w:sz w:val="22"/>
                <w:szCs w:val="22"/>
              </w:rPr>
              <w:t>22.50 ± 5.10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33B15AF" w14:textId="77777777" w:rsidR="00E92E2F" w:rsidRPr="00C06AAA" w:rsidRDefault="00000000" w:rsidP="00044ED7">
            <w:pPr>
              <w:jc w:val="center"/>
            </w:pPr>
            <w:r w:rsidRPr="00C06AAA">
              <w:rPr>
                <w:rFonts w:cs="Times New Roman"/>
                <w:sz w:val="22"/>
                <w:szCs w:val="22"/>
              </w:rPr>
              <w:t>27.80 ± 4.80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CBB99F7" w14:textId="77777777" w:rsidR="00E92E2F" w:rsidRPr="00C06AAA" w:rsidRDefault="00000000" w:rsidP="00044ED7">
            <w:pPr>
              <w:jc w:val="center"/>
            </w:pPr>
            <w:r w:rsidRPr="00C06AAA">
              <w:rPr>
                <w:rFonts w:cs="Times New Roman"/>
                <w:sz w:val="22"/>
                <w:szCs w:val="22"/>
              </w:rPr>
              <w:t>32.40 ± 4.50</w:t>
            </w:r>
          </w:p>
        </w:tc>
        <w:tc>
          <w:tcPr>
            <w:tcW w:w="14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40E65D5" w14:textId="77777777" w:rsidR="00E92E2F" w:rsidRPr="00C06AAA" w:rsidRDefault="00000000" w:rsidP="00044ED7">
            <w:pPr>
              <w:jc w:val="center"/>
            </w:pPr>
            <w:r w:rsidRPr="00C06AAA">
              <w:rPr>
                <w:rFonts w:cs="Times New Roman"/>
                <w:sz w:val="22"/>
                <w:szCs w:val="22"/>
              </w:rPr>
              <w:t>+44.00</w:t>
            </w:r>
          </w:p>
        </w:tc>
      </w:tr>
      <w:tr w:rsidR="00E92E2F" w:rsidRPr="00C06AAA" w14:paraId="6711CC74" w14:textId="77777777">
        <w:tc>
          <w:tcPr>
            <w:tcW w:w="295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9EDFA17" w14:textId="77777777" w:rsidR="00E92E2F" w:rsidRPr="00C06AAA" w:rsidRDefault="00000000" w:rsidP="00044ED7">
            <w:r w:rsidRPr="00C06AAA">
              <w:rPr>
                <w:rFonts w:cs="Times New Roman"/>
                <w:sz w:val="22"/>
                <w:szCs w:val="22"/>
              </w:rPr>
              <w:t>Curl-up — Ctrl.</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9A045FB" w14:textId="77777777" w:rsidR="00E92E2F" w:rsidRPr="00C06AAA" w:rsidRDefault="00000000" w:rsidP="00044ED7">
            <w:pPr>
              <w:jc w:val="center"/>
            </w:pPr>
            <w:r w:rsidRPr="00C06AAA">
              <w:rPr>
                <w:rFonts w:cs="Times New Roman"/>
                <w:sz w:val="22"/>
                <w:szCs w:val="22"/>
              </w:rPr>
              <w:t>22.90 ± 5.30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4A9912A" w14:textId="77777777" w:rsidR="00E92E2F" w:rsidRPr="00C06AAA" w:rsidRDefault="00000000" w:rsidP="00044ED7">
            <w:pPr>
              <w:jc w:val="center"/>
            </w:pPr>
            <w:r w:rsidRPr="00C06AAA">
              <w:rPr>
                <w:rFonts w:cs="Times New Roman"/>
                <w:sz w:val="22"/>
                <w:szCs w:val="22"/>
              </w:rPr>
              <w:t>23.70 ± 5.00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832D014" w14:textId="77777777" w:rsidR="00E92E2F" w:rsidRPr="00C06AAA" w:rsidRDefault="00000000" w:rsidP="00044ED7">
            <w:pPr>
              <w:jc w:val="center"/>
            </w:pPr>
            <w:r w:rsidRPr="00C06AAA">
              <w:rPr>
                <w:rFonts w:cs="Times New Roman"/>
                <w:sz w:val="22"/>
                <w:szCs w:val="22"/>
              </w:rPr>
              <w:t>24.50 ± 4.90</w:t>
            </w:r>
          </w:p>
        </w:tc>
        <w:tc>
          <w:tcPr>
            <w:tcW w:w="14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0653E3F" w14:textId="77777777" w:rsidR="00E92E2F" w:rsidRPr="00C06AAA" w:rsidRDefault="00000000" w:rsidP="00044ED7">
            <w:pPr>
              <w:jc w:val="center"/>
            </w:pPr>
            <w:r w:rsidRPr="00C06AAA">
              <w:rPr>
                <w:rFonts w:cs="Times New Roman"/>
                <w:sz w:val="22"/>
                <w:szCs w:val="22"/>
              </w:rPr>
              <w:t>+7.00</w:t>
            </w:r>
          </w:p>
        </w:tc>
      </w:tr>
      <w:tr w:rsidR="00E92E2F" w:rsidRPr="00C06AAA" w14:paraId="772AC19A" w14:textId="77777777">
        <w:tc>
          <w:tcPr>
            <w:tcW w:w="295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0DD689D" w14:textId="77777777" w:rsidR="00E92E2F" w:rsidRPr="00C06AAA" w:rsidRDefault="00000000" w:rsidP="00044ED7">
            <w:r w:rsidRPr="00C06AAA">
              <w:rPr>
                <w:rFonts w:cs="Times New Roman"/>
                <w:sz w:val="22"/>
                <w:szCs w:val="22"/>
              </w:rPr>
              <w:t>Push-up — Exp.</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9032D25" w14:textId="77777777" w:rsidR="00E92E2F" w:rsidRPr="00C06AAA" w:rsidRDefault="00000000" w:rsidP="00044ED7">
            <w:pPr>
              <w:jc w:val="center"/>
            </w:pPr>
            <w:r w:rsidRPr="00C06AAA">
              <w:rPr>
                <w:rFonts w:cs="Times New Roman"/>
                <w:sz w:val="22"/>
                <w:szCs w:val="22"/>
              </w:rPr>
              <w:t>16.80 ± 4.20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9E7C3AD" w14:textId="77777777" w:rsidR="00E92E2F" w:rsidRPr="00C06AAA" w:rsidRDefault="00000000" w:rsidP="00044ED7">
            <w:pPr>
              <w:jc w:val="center"/>
            </w:pPr>
            <w:r w:rsidRPr="00C06AAA">
              <w:rPr>
                <w:rFonts w:cs="Times New Roman"/>
                <w:sz w:val="22"/>
                <w:szCs w:val="22"/>
              </w:rPr>
              <w:t>21.40 ± 3.90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B4A9884" w14:textId="77777777" w:rsidR="00E92E2F" w:rsidRPr="00C06AAA" w:rsidRDefault="00000000" w:rsidP="00044ED7">
            <w:pPr>
              <w:jc w:val="center"/>
            </w:pPr>
            <w:r w:rsidRPr="00C06AAA">
              <w:rPr>
                <w:rFonts w:cs="Times New Roman"/>
                <w:sz w:val="22"/>
                <w:szCs w:val="22"/>
              </w:rPr>
              <w:t>25.60 ± 3.80</w:t>
            </w:r>
          </w:p>
        </w:tc>
        <w:tc>
          <w:tcPr>
            <w:tcW w:w="14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7C9E388" w14:textId="77777777" w:rsidR="00E92E2F" w:rsidRPr="00C06AAA" w:rsidRDefault="00000000" w:rsidP="00044ED7">
            <w:pPr>
              <w:jc w:val="center"/>
            </w:pPr>
            <w:r w:rsidRPr="00C06AAA">
              <w:rPr>
                <w:rFonts w:cs="Times New Roman"/>
                <w:sz w:val="22"/>
                <w:szCs w:val="22"/>
              </w:rPr>
              <w:t>+52.40</w:t>
            </w:r>
          </w:p>
        </w:tc>
      </w:tr>
      <w:tr w:rsidR="00E92E2F" w:rsidRPr="00C06AAA" w14:paraId="64CB576E" w14:textId="77777777">
        <w:tc>
          <w:tcPr>
            <w:tcW w:w="295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E52320C" w14:textId="77777777" w:rsidR="00E92E2F" w:rsidRPr="00C06AAA" w:rsidRDefault="00000000" w:rsidP="00044ED7">
            <w:r w:rsidRPr="00C06AAA">
              <w:rPr>
                <w:rFonts w:cs="Times New Roman"/>
                <w:sz w:val="22"/>
                <w:szCs w:val="22"/>
              </w:rPr>
              <w:t>Push-up — Ctrl.</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256CEFF" w14:textId="77777777" w:rsidR="00E92E2F" w:rsidRPr="00C06AAA" w:rsidRDefault="00000000" w:rsidP="00044ED7">
            <w:pPr>
              <w:jc w:val="center"/>
            </w:pPr>
            <w:r w:rsidRPr="00C06AAA">
              <w:rPr>
                <w:rFonts w:cs="Times New Roman"/>
                <w:sz w:val="22"/>
                <w:szCs w:val="22"/>
              </w:rPr>
              <w:t>17.10 ± 4.40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7500846" w14:textId="77777777" w:rsidR="00E92E2F" w:rsidRPr="00C06AAA" w:rsidRDefault="00000000" w:rsidP="00044ED7">
            <w:pPr>
              <w:jc w:val="center"/>
            </w:pPr>
            <w:r w:rsidRPr="00C06AAA">
              <w:rPr>
                <w:rFonts w:cs="Times New Roman"/>
                <w:sz w:val="22"/>
                <w:szCs w:val="22"/>
              </w:rPr>
              <w:t>17.90 ± 4.30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45A0DAB" w14:textId="77777777" w:rsidR="00E92E2F" w:rsidRPr="00C06AAA" w:rsidRDefault="00000000" w:rsidP="00044ED7">
            <w:pPr>
              <w:jc w:val="center"/>
            </w:pPr>
            <w:r w:rsidRPr="00C06AAA">
              <w:rPr>
                <w:rFonts w:cs="Times New Roman"/>
                <w:sz w:val="22"/>
                <w:szCs w:val="22"/>
              </w:rPr>
              <w:t>18.70 ± 4.20</w:t>
            </w:r>
          </w:p>
        </w:tc>
        <w:tc>
          <w:tcPr>
            <w:tcW w:w="14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DCB215A" w14:textId="77777777" w:rsidR="00E92E2F" w:rsidRPr="00C06AAA" w:rsidRDefault="00000000" w:rsidP="00044ED7">
            <w:pPr>
              <w:jc w:val="center"/>
            </w:pPr>
            <w:r w:rsidRPr="00C06AAA">
              <w:rPr>
                <w:rFonts w:cs="Times New Roman"/>
                <w:sz w:val="22"/>
                <w:szCs w:val="22"/>
              </w:rPr>
              <w:t>+9.40</w:t>
            </w:r>
          </w:p>
        </w:tc>
      </w:tr>
      <w:tr w:rsidR="00E92E2F" w:rsidRPr="00C06AAA" w14:paraId="49F188A8" w14:textId="77777777">
        <w:tc>
          <w:tcPr>
            <w:tcW w:w="295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7E5F9B7" w14:textId="77777777" w:rsidR="00E92E2F" w:rsidRPr="00C06AAA" w:rsidRDefault="00000000" w:rsidP="00044ED7">
            <w:r w:rsidRPr="00C06AAA">
              <w:rPr>
                <w:rFonts w:cs="Times New Roman"/>
                <w:sz w:val="22"/>
                <w:szCs w:val="22"/>
              </w:rPr>
              <w:t>Sit-and-reach — Exp.</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CA9CAC0" w14:textId="77777777" w:rsidR="00E92E2F" w:rsidRPr="00C06AAA" w:rsidRDefault="00000000" w:rsidP="00044ED7">
            <w:pPr>
              <w:jc w:val="center"/>
            </w:pPr>
            <w:r w:rsidRPr="00C06AAA">
              <w:rPr>
                <w:rFonts w:cs="Times New Roman"/>
                <w:sz w:val="22"/>
                <w:szCs w:val="22"/>
              </w:rPr>
              <w:t>24.20 ± 5.80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8D42FD3" w14:textId="77777777" w:rsidR="00E92E2F" w:rsidRPr="00C06AAA" w:rsidRDefault="00000000" w:rsidP="00044ED7">
            <w:pPr>
              <w:jc w:val="center"/>
            </w:pPr>
            <w:r w:rsidRPr="00C06AAA">
              <w:rPr>
                <w:rFonts w:cs="Times New Roman"/>
                <w:sz w:val="22"/>
                <w:szCs w:val="22"/>
              </w:rPr>
              <w:t>27.10 ± 5.50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F3B5FBC" w14:textId="77777777" w:rsidR="00E92E2F" w:rsidRPr="00C06AAA" w:rsidRDefault="00000000" w:rsidP="00044ED7">
            <w:pPr>
              <w:jc w:val="center"/>
            </w:pPr>
            <w:r w:rsidRPr="00C06AAA">
              <w:rPr>
                <w:rFonts w:cs="Times New Roman"/>
                <w:sz w:val="22"/>
                <w:szCs w:val="22"/>
              </w:rPr>
              <w:t>29.80 ± 5.20</w:t>
            </w:r>
          </w:p>
        </w:tc>
        <w:tc>
          <w:tcPr>
            <w:tcW w:w="14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3D47DF9" w14:textId="77777777" w:rsidR="00E92E2F" w:rsidRPr="00C06AAA" w:rsidRDefault="00000000" w:rsidP="00044ED7">
            <w:pPr>
              <w:jc w:val="center"/>
            </w:pPr>
            <w:r w:rsidRPr="00C06AAA">
              <w:rPr>
                <w:rFonts w:cs="Times New Roman"/>
                <w:sz w:val="22"/>
                <w:szCs w:val="22"/>
              </w:rPr>
              <w:t>+23.10</w:t>
            </w:r>
          </w:p>
        </w:tc>
      </w:tr>
      <w:tr w:rsidR="00E92E2F" w:rsidRPr="00C06AAA" w14:paraId="7D1194BB" w14:textId="77777777">
        <w:tc>
          <w:tcPr>
            <w:tcW w:w="295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2146EA5" w14:textId="77777777" w:rsidR="00E92E2F" w:rsidRPr="00C06AAA" w:rsidRDefault="00000000" w:rsidP="00044ED7">
            <w:r w:rsidRPr="00C06AAA">
              <w:rPr>
                <w:rFonts w:cs="Times New Roman"/>
                <w:sz w:val="22"/>
                <w:szCs w:val="22"/>
              </w:rPr>
              <w:t>Sit-and-reach — Ctrl.</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4E59312" w14:textId="77777777" w:rsidR="00E92E2F" w:rsidRPr="00C06AAA" w:rsidRDefault="00000000" w:rsidP="00044ED7">
            <w:pPr>
              <w:jc w:val="center"/>
            </w:pPr>
            <w:r w:rsidRPr="00C06AAA">
              <w:rPr>
                <w:rFonts w:cs="Times New Roman"/>
                <w:sz w:val="22"/>
                <w:szCs w:val="22"/>
              </w:rPr>
              <w:t>24.60 ± 5.90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647FF4B" w14:textId="77777777" w:rsidR="00E92E2F" w:rsidRPr="00C06AAA" w:rsidRDefault="00000000" w:rsidP="00044ED7">
            <w:pPr>
              <w:jc w:val="center"/>
            </w:pPr>
            <w:r w:rsidRPr="00C06AAA">
              <w:rPr>
                <w:rFonts w:cs="Times New Roman"/>
                <w:sz w:val="22"/>
                <w:szCs w:val="22"/>
              </w:rPr>
              <w:t>25.40 ± 5.80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319AD59" w14:textId="77777777" w:rsidR="00E92E2F" w:rsidRPr="00C06AAA" w:rsidRDefault="00000000" w:rsidP="00044ED7">
            <w:pPr>
              <w:jc w:val="center"/>
            </w:pPr>
            <w:r w:rsidRPr="00C06AAA">
              <w:rPr>
                <w:rFonts w:cs="Times New Roman"/>
                <w:sz w:val="22"/>
                <w:szCs w:val="22"/>
              </w:rPr>
              <w:t>26.20 ± 5.70</w:t>
            </w:r>
          </w:p>
        </w:tc>
        <w:tc>
          <w:tcPr>
            <w:tcW w:w="14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B1C05A5" w14:textId="77777777" w:rsidR="00E92E2F" w:rsidRPr="00C06AAA" w:rsidRDefault="00000000" w:rsidP="00044ED7">
            <w:pPr>
              <w:jc w:val="center"/>
            </w:pPr>
            <w:r w:rsidRPr="00C06AAA">
              <w:rPr>
                <w:rFonts w:cs="Times New Roman"/>
                <w:sz w:val="22"/>
                <w:szCs w:val="22"/>
              </w:rPr>
              <w:t>+6.50</w:t>
            </w:r>
          </w:p>
        </w:tc>
      </w:tr>
      <w:tr w:rsidR="00E92E2F" w:rsidRPr="00C06AAA" w14:paraId="433ABCDA" w14:textId="77777777">
        <w:tc>
          <w:tcPr>
            <w:tcW w:w="295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683CBA3" w14:textId="77777777" w:rsidR="00E92E2F" w:rsidRPr="00C06AAA" w:rsidRDefault="00000000" w:rsidP="00044ED7">
            <w:r w:rsidRPr="00C06AAA">
              <w:rPr>
                <w:rFonts w:cs="Times New Roman"/>
                <w:sz w:val="22"/>
                <w:szCs w:val="22"/>
              </w:rPr>
              <w:t>BMI — Exp.</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927EFE0" w14:textId="77777777" w:rsidR="00E92E2F" w:rsidRPr="00C06AAA" w:rsidRDefault="00000000" w:rsidP="00044ED7">
            <w:pPr>
              <w:jc w:val="center"/>
            </w:pPr>
            <w:r w:rsidRPr="00C06AAA">
              <w:rPr>
                <w:rFonts w:cs="Times New Roman"/>
                <w:sz w:val="22"/>
                <w:szCs w:val="22"/>
              </w:rPr>
              <w:t>21.50 ± 2.60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C2A3F09" w14:textId="77777777" w:rsidR="00E92E2F" w:rsidRPr="00C06AAA" w:rsidRDefault="00000000" w:rsidP="00044ED7">
            <w:pPr>
              <w:jc w:val="center"/>
            </w:pPr>
            <w:r w:rsidRPr="00C06AAA">
              <w:rPr>
                <w:rFonts w:cs="Times New Roman"/>
                <w:sz w:val="22"/>
                <w:szCs w:val="22"/>
              </w:rPr>
              <w:t>21.20 ± 2.50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BC1343A" w14:textId="77777777" w:rsidR="00E92E2F" w:rsidRPr="00C06AAA" w:rsidRDefault="00000000" w:rsidP="00044ED7">
            <w:pPr>
              <w:jc w:val="center"/>
            </w:pPr>
            <w:r w:rsidRPr="00C06AAA">
              <w:rPr>
                <w:rFonts w:cs="Times New Roman"/>
                <w:sz w:val="22"/>
                <w:szCs w:val="22"/>
              </w:rPr>
              <w:t>20.90 ± 2.40</w:t>
            </w:r>
          </w:p>
        </w:tc>
        <w:tc>
          <w:tcPr>
            <w:tcW w:w="14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DFD8DEE" w14:textId="77777777" w:rsidR="00E92E2F" w:rsidRPr="00C06AAA" w:rsidRDefault="00000000" w:rsidP="00044ED7">
            <w:pPr>
              <w:jc w:val="center"/>
            </w:pPr>
            <w:r w:rsidRPr="00C06AAA">
              <w:rPr>
                <w:rFonts w:cs="Times New Roman"/>
                <w:sz w:val="22"/>
                <w:szCs w:val="22"/>
              </w:rPr>
              <w:t>−2.80</w:t>
            </w:r>
          </w:p>
        </w:tc>
      </w:tr>
      <w:tr w:rsidR="00E92E2F" w:rsidRPr="00C06AAA" w14:paraId="48E293D7" w14:textId="77777777">
        <w:tc>
          <w:tcPr>
            <w:tcW w:w="295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F6BC56C" w14:textId="77777777" w:rsidR="00E92E2F" w:rsidRPr="00C06AAA" w:rsidRDefault="00000000" w:rsidP="00044ED7">
            <w:r w:rsidRPr="00C06AAA">
              <w:rPr>
                <w:rFonts w:cs="Times New Roman"/>
                <w:sz w:val="22"/>
                <w:szCs w:val="22"/>
              </w:rPr>
              <w:t>BMI — Ctrl.</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4818BFD" w14:textId="77777777" w:rsidR="00E92E2F" w:rsidRPr="00C06AAA" w:rsidRDefault="00000000" w:rsidP="00044ED7">
            <w:pPr>
              <w:jc w:val="center"/>
            </w:pPr>
            <w:r w:rsidRPr="00C06AAA">
              <w:rPr>
                <w:rFonts w:cs="Times New Roman"/>
                <w:sz w:val="22"/>
                <w:szCs w:val="22"/>
              </w:rPr>
              <w:t>21.70 ± 2.90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8E434E4" w14:textId="77777777" w:rsidR="00E92E2F" w:rsidRPr="00C06AAA" w:rsidRDefault="00000000" w:rsidP="00044ED7">
            <w:pPr>
              <w:jc w:val="center"/>
            </w:pPr>
            <w:r w:rsidRPr="00C06AAA">
              <w:rPr>
                <w:rFonts w:cs="Times New Roman"/>
                <w:sz w:val="22"/>
                <w:szCs w:val="22"/>
              </w:rPr>
              <w:t>21.70 ± 2.90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5CDC95A" w14:textId="77777777" w:rsidR="00E92E2F" w:rsidRPr="00C06AAA" w:rsidRDefault="00000000" w:rsidP="00044ED7">
            <w:pPr>
              <w:jc w:val="center"/>
            </w:pPr>
            <w:r w:rsidRPr="00C06AAA">
              <w:rPr>
                <w:rFonts w:cs="Times New Roman"/>
                <w:sz w:val="22"/>
                <w:szCs w:val="22"/>
              </w:rPr>
              <w:t>21.60 ± 2.80</w:t>
            </w:r>
          </w:p>
        </w:tc>
        <w:tc>
          <w:tcPr>
            <w:tcW w:w="14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2B22FDA" w14:textId="77777777" w:rsidR="00E92E2F" w:rsidRPr="00C06AAA" w:rsidRDefault="00000000" w:rsidP="00044ED7">
            <w:pPr>
              <w:jc w:val="center"/>
            </w:pPr>
            <w:r w:rsidRPr="00C06AAA">
              <w:rPr>
                <w:rFonts w:cs="Times New Roman"/>
                <w:sz w:val="22"/>
                <w:szCs w:val="22"/>
              </w:rPr>
              <w:t>−0.50</w:t>
            </w:r>
          </w:p>
        </w:tc>
      </w:tr>
      <w:tr w:rsidR="00E92E2F" w:rsidRPr="00C06AAA" w14:paraId="219E287A" w14:textId="77777777">
        <w:tc>
          <w:tcPr>
            <w:tcW w:w="295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74E6A2F" w14:textId="77777777" w:rsidR="00E92E2F" w:rsidRPr="00C06AAA" w:rsidRDefault="00000000" w:rsidP="00044ED7">
            <w:r w:rsidRPr="00C06AAA">
              <w:rPr>
                <w:rFonts w:cs="Times New Roman"/>
                <w:sz w:val="22"/>
                <w:szCs w:val="22"/>
              </w:rPr>
              <w:t>Attitude — Exp.</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64C6710" w14:textId="77777777" w:rsidR="00E92E2F" w:rsidRPr="00C06AAA" w:rsidRDefault="00000000" w:rsidP="00044ED7">
            <w:pPr>
              <w:jc w:val="center"/>
            </w:pPr>
            <w:r w:rsidRPr="00C06AAA">
              <w:rPr>
                <w:rFonts w:cs="Times New Roman"/>
                <w:sz w:val="22"/>
                <w:szCs w:val="22"/>
              </w:rPr>
              <w:t>78.40 ± 9.70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C1AB06C" w14:textId="77777777" w:rsidR="00E92E2F" w:rsidRPr="00C06AAA" w:rsidRDefault="00000000" w:rsidP="00044ED7">
            <w:pPr>
              <w:jc w:val="center"/>
            </w:pPr>
            <w:r w:rsidRPr="00C06AAA">
              <w:rPr>
                <w:rFonts w:cs="Times New Roman"/>
                <w:sz w:val="22"/>
                <w:szCs w:val="22"/>
              </w:rPr>
              <w:t>92.10 ± 8.90</w:t>
            </w:r>
          </w:p>
        </w:tc>
        <w:tc>
          <w:tcPr>
            <w:tcW w:w="16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6EEF062" w14:textId="77777777" w:rsidR="00E92E2F" w:rsidRPr="00C06AAA" w:rsidRDefault="00000000" w:rsidP="00044ED7">
            <w:pPr>
              <w:jc w:val="center"/>
            </w:pPr>
            <w:r w:rsidRPr="00C06AAA">
              <w:rPr>
                <w:rFonts w:cs="Times New Roman"/>
                <w:sz w:val="22"/>
                <w:szCs w:val="22"/>
              </w:rPr>
              <w:t>104.60 ± 8.40</w:t>
            </w:r>
          </w:p>
        </w:tc>
        <w:tc>
          <w:tcPr>
            <w:tcW w:w="144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788AE94" w14:textId="77777777" w:rsidR="00E92E2F" w:rsidRPr="00C06AAA" w:rsidRDefault="00000000" w:rsidP="00044ED7">
            <w:pPr>
              <w:jc w:val="center"/>
            </w:pPr>
            <w:r w:rsidRPr="00C06AAA">
              <w:rPr>
                <w:rFonts w:cs="Times New Roman"/>
                <w:sz w:val="22"/>
                <w:szCs w:val="22"/>
              </w:rPr>
              <w:t>+33.40</w:t>
            </w:r>
          </w:p>
        </w:tc>
      </w:tr>
      <w:tr w:rsidR="00E92E2F" w:rsidRPr="00C06AAA" w14:paraId="770050D3" w14:textId="77777777">
        <w:tc>
          <w:tcPr>
            <w:tcW w:w="2954"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4B839973" w14:textId="77777777" w:rsidR="00E92E2F" w:rsidRPr="00C06AAA" w:rsidRDefault="00000000" w:rsidP="00044ED7">
            <w:r w:rsidRPr="00C06AAA">
              <w:rPr>
                <w:rFonts w:cs="Times New Roman"/>
                <w:sz w:val="22"/>
                <w:szCs w:val="22"/>
              </w:rPr>
              <w:t>Attitude — Ctrl.</w:t>
            </w:r>
          </w:p>
        </w:tc>
        <w:tc>
          <w:tcPr>
            <w:tcW w:w="164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12A2B569" w14:textId="77777777" w:rsidR="00E92E2F" w:rsidRPr="00C06AAA" w:rsidRDefault="00000000" w:rsidP="00044ED7">
            <w:pPr>
              <w:jc w:val="center"/>
            </w:pPr>
            <w:r w:rsidRPr="00C06AAA">
              <w:rPr>
                <w:rFonts w:cs="Times New Roman"/>
                <w:sz w:val="22"/>
                <w:szCs w:val="22"/>
              </w:rPr>
              <w:t>79.10 ± 10.10</w:t>
            </w:r>
          </w:p>
        </w:tc>
        <w:tc>
          <w:tcPr>
            <w:tcW w:w="164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07162E73" w14:textId="77777777" w:rsidR="00E92E2F" w:rsidRPr="00C06AAA" w:rsidRDefault="00000000" w:rsidP="00044ED7">
            <w:pPr>
              <w:jc w:val="center"/>
            </w:pPr>
            <w:r w:rsidRPr="00C06AAA">
              <w:rPr>
                <w:rFonts w:cs="Times New Roman"/>
                <w:sz w:val="22"/>
                <w:szCs w:val="22"/>
              </w:rPr>
              <w:t>83.40 ± 9.80</w:t>
            </w:r>
          </w:p>
        </w:tc>
        <w:tc>
          <w:tcPr>
            <w:tcW w:w="164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7900B92E" w14:textId="77777777" w:rsidR="00E92E2F" w:rsidRPr="00C06AAA" w:rsidRDefault="00000000" w:rsidP="00044ED7">
            <w:pPr>
              <w:jc w:val="center"/>
            </w:pPr>
            <w:r w:rsidRPr="00C06AAA">
              <w:rPr>
                <w:rFonts w:cs="Times New Roman"/>
                <w:sz w:val="22"/>
                <w:szCs w:val="22"/>
              </w:rPr>
              <w:t>87.20 ± 9.60</w:t>
            </w:r>
          </w:p>
        </w:tc>
        <w:tc>
          <w:tcPr>
            <w:tcW w:w="144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2BCD1DE3" w14:textId="77777777" w:rsidR="00E92E2F" w:rsidRPr="00C06AAA" w:rsidRDefault="00000000" w:rsidP="00044ED7">
            <w:pPr>
              <w:jc w:val="center"/>
            </w:pPr>
            <w:r w:rsidRPr="00C06AAA">
              <w:rPr>
                <w:rFonts w:cs="Times New Roman"/>
                <w:sz w:val="22"/>
                <w:szCs w:val="22"/>
              </w:rPr>
              <w:t>+10.20</w:t>
            </w:r>
          </w:p>
        </w:tc>
      </w:tr>
    </w:tbl>
    <w:p w14:paraId="622993CE" w14:textId="77777777" w:rsidR="00E92E2F" w:rsidRPr="00C06AAA" w:rsidRDefault="00000000" w:rsidP="00044ED7">
      <w:pPr>
        <w:spacing w:before="40"/>
      </w:pPr>
      <w:r w:rsidRPr="00C06AAA">
        <w:rPr>
          <w:rFonts w:cs="Times New Roman"/>
          <w:i/>
          <w:iCs/>
          <w:sz w:val="22"/>
          <w:szCs w:val="22"/>
        </w:rPr>
        <w:t>Note. Exp. = experimental group (n = 20); Ctrl. = control group (n = 20). Δ (%) = percentage change from pretest to posttest. Previously omitted control-group rows for the four fitness components are now reported in full (highlighted).</w:t>
      </w:r>
    </w:p>
    <w:p w14:paraId="701827EA" w14:textId="77777777" w:rsidR="00E92E2F" w:rsidRPr="00C06AAA" w:rsidRDefault="00000000" w:rsidP="00044ED7">
      <w:pPr>
        <w:keepNext/>
        <w:spacing w:before="160"/>
      </w:pPr>
      <w:r w:rsidRPr="00C06AAA">
        <w:rPr>
          <w:rFonts w:cs="Times New Roman"/>
          <w:b/>
          <w:bCs/>
        </w:rPr>
        <w:t>Table 6</w:t>
      </w:r>
      <w:r w:rsidRPr="00C06AAA">
        <w:rPr>
          <w:rFonts w:cs="Times New Roman"/>
        </w:rPr>
        <w:t xml:space="preserve"> 2 × 3 Mixed-Design ANOVA: Group × Time Interaction for Each Dependent Variable</w:t>
      </w:r>
    </w:p>
    <w:tbl>
      <w:tblPr>
        <w:tblW w:w="93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2654"/>
        <w:gridCol w:w="1180"/>
        <w:gridCol w:w="1100"/>
        <w:gridCol w:w="1000"/>
        <w:gridCol w:w="1880"/>
        <w:gridCol w:w="1500"/>
      </w:tblGrid>
      <w:tr w:rsidR="00E92E2F" w:rsidRPr="00C06AAA" w14:paraId="4D5FEF6F" w14:textId="77777777">
        <w:trPr>
          <w:tblHeader/>
        </w:trPr>
        <w:tc>
          <w:tcPr>
            <w:tcW w:w="2654"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69C0334B" w14:textId="77777777" w:rsidR="00E92E2F" w:rsidRPr="00C06AAA" w:rsidRDefault="00000000" w:rsidP="00044ED7">
            <w:pPr>
              <w:jc w:val="center"/>
            </w:pPr>
            <w:r w:rsidRPr="00C06AAA">
              <w:rPr>
                <w:rFonts w:cs="Times New Roman"/>
                <w:b/>
                <w:bCs/>
                <w:sz w:val="22"/>
                <w:szCs w:val="22"/>
              </w:rPr>
              <w:t>Dependent variable</w:t>
            </w:r>
          </w:p>
        </w:tc>
        <w:tc>
          <w:tcPr>
            <w:tcW w:w="118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0D7CA4AF" w14:textId="77777777" w:rsidR="00E92E2F" w:rsidRPr="00C06AAA" w:rsidRDefault="00000000" w:rsidP="00044ED7">
            <w:pPr>
              <w:jc w:val="center"/>
            </w:pPr>
            <w:r w:rsidRPr="00C06AAA">
              <w:rPr>
                <w:rFonts w:cs="Times New Roman"/>
                <w:b/>
                <w:bCs/>
                <w:sz w:val="22"/>
                <w:szCs w:val="22"/>
              </w:rPr>
              <w:t>F(2, 76)</w:t>
            </w:r>
          </w:p>
        </w:tc>
        <w:tc>
          <w:tcPr>
            <w:tcW w:w="110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01C6784A" w14:textId="77777777" w:rsidR="00E92E2F" w:rsidRPr="00C06AAA" w:rsidRDefault="00000000" w:rsidP="00044ED7">
            <w:pPr>
              <w:jc w:val="center"/>
            </w:pPr>
            <w:r w:rsidRPr="00C06AAA">
              <w:rPr>
                <w:rFonts w:cs="Times New Roman"/>
                <w:b/>
                <w:bCs/>
                <w:sz w:val="22"/>
                <w:szCs w:val="22"/>
              </w:rPr>
              <w:t>P</w:t>
            </w:r>
          </w:p>
        </w:tc>
        <w:tc>
          <w:tcPr>
            <w:tcW w:w="100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36015087" w14:textId="77777777" w:rsidR="00E92E2F" w:rsidRPr="00C06AAA" w:rsidRDefault="00000000" w:rsidP="00044ED7">
            <w:pPr>
              <w:jc w:val="center"/>
            </w:pPr>
            <w:r w:rsidRPr="00C06AAA">
              <w:rPr>
                <w:rFonts w:cs="Times New Roman"/>
                <w:b/>
                <w:bCs/>
                <w:sz w:val="22"/>
                <w:szCs w:val="22"/>
              </w:rPr>
              <w:t>η²p</w:t>
            </w:r>
          </w:p>
        </w:tc>
        <w:tc>
          <w:tcPr>
            <w:tcW w:w="188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6B7B13E0" w14:textId="77777777" w:rsidR="00E92E2F" w:rsidRPr="00C06AAA" w:rsidRDefault="00000000" w:rsidP="00044ED7">
            <w:pPr>
              <w:jc w:val="center"/>
            </w:pPr>
            <w:r w:rsidRPr="00C06AAA">
              <w:rPr>
                <w:rFonts w:cs="Times New Roman"/>
                <w:b/>
                <w:bCs/>
                <w:sz w:val="22"/>
                <w:szCs w:val="22"/>
              </w:rPr>
              <w:t>95% CI of η²p</w:t>
            </w:r>
          </w:p>
        </w:tc>
        <w:tc>
          <w:tcPr>
            <w:tcW w:w="150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6BB65822" w14:textId="77777777" w:rsidR="00E92E2F" w:rsidRPr="00C06AAA" w:rsidRDefault="00000000" w:rsidP="00044ED7">
            <w:pPr>
              <w:jc w:val="center"/>
            </w:pPr>
            <w:r w:rsidRPr="00C06AAA">
              <w:rPr>
                <w:rFonts w:cs="Times New Roman"/>
                <w:b/>
                <w:bCs/>
                <w:sz w:val="22"/>
                <w:szCs w:val="22"/>
              </w:rPr>
              <w:t>Magnitude</w:t>
            </w:r>
          </w:p>
        </w:tc>
      </w:tr>
      <w:tr w:rsidR="00E92E2F" w:rsidRPr="00C06AAA" w14:paraId="3EF18B33" w14:textId="77777777">
        <w:tc>
          <w:tcPr>
            <w:tcW w:w="265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471627E" w14:textId="77777777" w:rsidR="00E92E2F" w:rsidRPr="00C06AAA" w:rsidRDefault="00000000" w:rsidP="00044ED7">
            <w:r w:rsidRPr="00C06AAA">
              <w:rPr>
                <w:rFonts w:cs="Times New Roman"/>
                <w:sz w:val="22"/>
                <w:szCs w:val="22"/>
              </w:rPr>
              <w:t>Badminton skill (H1)</w:t>
            </w:r>
          </w:p>
        </w:tc>
        <w:tc>
          <w:tcPr>
            <w:tcW w:w="11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CDC6E90" w14:textId="77777777" w:rsidR="00E92E2F" w:rsidRPr="00C06AAA" w:rsidRDefault="00000000" w:rsidP="00044ED7">
            <w:pPr>
              <w:jc w:val="center"/>
            </w:pPr>
            <w:r w:rsidRPr="00C06AAA">
              <w:rPr>
                <w:rFonts w:cs="Times New Roman"/>
                <w:sz w:val="22"/>
                <w:szCs w:val="22"/>
              </w:rPr>
              <w:t>42.17</w:t>
            </w:r>
          </w:p>
        </w:tc>
        <w:tc>
          <w:tcPr>
            <w:tcW w:w="1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F8A6EA4" w14:textId="76760205" w:rsidR="00E92E2F" w:rsidRPr="00C06AAA" w:rsidRDefault="00000000" w:rsidP="00044ED7">
            <w:pPr>
              <w:jc w:val="center"/>
            </w:pPr>
            <w:r w:rsidRPr="00C06AAA">
              <w:rPr>
                <w:rFonts w:cs="Times New Roman"/>
                <w:sz w:val="22"/>
                <w:szCs w:val="22"/>
              </w:rPr>
              <w:t xml:space="preserve"> .001*</w:t>
            </w:r>
          </w:p>
        </w:tc>
        <w:tc>
          <w:tcPr>
            <w:tcW w:w="10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CC36BBC" w14:textId="77777777" w:rsidR="00E92E2F" w:rsidRPr="00C06AAA" w:rsidRDefault="00000000" w:rsidP="00044ED7">
            <w:pPr>
              <w:jc w:val="center"/>
            </w:pPr>
            <w:r w:rsidRPr="00C06AAA">
              <w:rPr>
                <w:rFonts w:cs="Times New Roman"/>
                <w:sz w:val="22"/>
                <w:szCs w:val="22"/>
              </w:rPr>
              <w:t>.53</w:t>
            </w:r>
          </w:p>
        </w:tc>
        <w:tc>
          <w:tcPr>
            <w:tcW w:w="18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008E330" w14:textId="77777777" w:rsidR="00E92E2F" w:rsidRPr="00C06AAA" w:rsidRDefault="00000000" w:rsidP="00044ED7">
            <w:pPr>
              <w:jc w:val="center"/>
            </w:pPr>
            <w:r w:rsidRPr="00C06AAA">
              <w:rPr>
                <w:rFonts w:cs="Times New Roman"/>
                <w:sz w:val="22"/>
                <w:szCs w:val="22"/>
              </w:rPr>
              <w:t>[.40, .62]</w:t>
            </w:r>
          </w:p>
        </w:tc>
        <w:tc>
          <w:tcPr>
            <w:tcW w:w="15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00084C0" w14:textId="77777777" w:rsidR="00E92E2F" w:rsidRPr="00C06AAA" w:rsidRDefault="00000000" w:rsidP="00044ED7">
            <w:pPr>
              <w:jc w:val="center"/>
            </w:pPr>
            <w:r w:rsidRPr="00C06AAA">
              <w:rPr>
                <w:rFonts w:cs="Times New Roman"/>
                <w:sz w:val="22"/>
                <w:szCs w:val="22"/>
              </w:rPr>
              <w:t>Large</w:t>
            </w:r>
          </w:p>
        </w:tc>
      </w:tr>
      <w:tr w:rsidR="00E92E2F" w:rsidRPr="00C06AAA" w14:paraId="33F13A68" w14:textId="77777777">
        <w:tc>
          <w:tcPr>
            <w:tcW w:w="265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375E803" w14:textId="77777777" w:rsidR="00E92E2F" w:rsidRPr="00C06AAA" w:rsidRDefault="00000000" w:rsidP="00044ED7">
            <w:r w:rsidRPr="00C06AAA">
              <w:rPr>
                <w:rFonts w:cs="Times New Roman"/>
                <w:sz w:val="22"/>
                <w:szCs w:val="22"/>
              </w:rPr>
              <w:t>CRF VO₂max (H2)</w:t>
            </w:r>
          </w:p>
        </w:tc>
        <w:tc>
          <w:tcPr>
            <w:tcW w:w="11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D5295AD" w14:textId="77777777" w:rsidR="00E92E2F" w:rsidRPr="00C06AAA" w:rsidRDefault="00000000" w:rsidP="00044ED7">
            <w:pPr>
              <w:jc w:val="center"/>
            </w:pPr>
            <w:r w:rsidRPr="00C06AAA">
              <w:rPr>
                <w:rFonts w:cs="Times New Roman"/>
                <w:sz w:val="22"/>
                <w:szCs w:val="22"/>
              </w:rPr>
              <w:t>38.91</w:t>
            </w:r>
          </w:p>
        </w:tc>
        <w:tc>
          <w:tcPr>
            <w:tcW w:w="1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444FED8" w14:textId="28385EAC" w:rsidR="00E92E2F" w:rsidRPr="00C06AAA" w:rsidRDefault="00000000" w:rsidP="00044ED7">
            <w:pPr>
              <w:jc w:val="center"/>
            </w:pPr>
            <w:r w:rsidRPr="00C06AAA">
              <w:rPr>
                <w:rFonts w:cs="Times New Roman"/>
                <w:sz w:val="22"/>
                <w:szCs w:val="22"/>
              </w:rPr>
              <w:t xml:space="preserve"> .001*</w:t>
            </w:r>
          </w:p>
        </w:tc>
        <w:tc>
          <w:tcPr>
            <w:tcW w:w="10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5F154A6" w14:textId="77777777" w:rsidR="00E92E2F" w:rsidRPr="00C06AAA" w:rsidRDefault="00000000" w:rsidP="00044ED7">
            <w:pPr>
              <w:jc w:val="center"/>
            </w:pPr>
            <w:r w:rsidRPr="00C06AAA">
              <w:rPr>
                <w:rFonts w:cs="Times New Roman"/>
                <w:sz w:val="22"/>
                <w:szCs w:val="22"/>
              </w:rPr>
              <w:t>.51</w:t>
            </w:r>
          </w:p>
        </w:tc>
        <w:tc>
          <w:tcPr>
            <w:tcW w:w="18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6493648" w14:textId="77777777" w:rsidR="00E92E2F" w:rsidRPr="00C06AAA" w:rsidRDefault="00000000" w:rsidP="00044ED7">
            <w:pPr>
              <w:jc w:val="center"/>
            </w:pPr>
            <w:r w:rsidRPr="00C06AAA">
              <w:rPr>
                <w:rFonts w:cs="Times New Roman"/>
                <w:sz w:val="22"/>
                <w:szCs w:val="22"/>
              </w:rPr>
              <w:t>[.37, .60]</w:t>
            </w:r>
          </w:p>
        </w:tc>
        <w:tc>
          <w:tcPr>
            <w:tcW w:w="15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1B410B1" w14:textId="77777777" w:rsidR="00E92E2F" w:rsidRPr="00C06AAA" w:rsidRDefault="00000000" w:rsidP="00044ED7">
            <w:pPr>
              <w:jc w:val="center"/>
            </w:pPr>
            <w:r w:rsidRPr="00C06AAA">
              <w:rPr>
                <w:rFonts w:cs="Times New Roman"/>
                <w:sz w:val="22"/>
                <w:szCs w:val="22"/>
              </w:rPr>
              <w:t>Large</w:t>
            </w:r>
          </w:p>
        </w:tc>
      </w:tr>
      <w:tr w:rsidR="00E92E2F" w:rsidRPr="00C06AAA" w14:paraId="0BF7C6D4" w14:textId="77777777">
        <w:tc>
          <w:tcPr>
            <w:tcW w:w="265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85A7508" w14:textId="77777777" w:rsidR="00E92E2F" w:rsidRPr="00C06AAA" w:rsidRDefault="00000000" w:rsidP="00044ED7">
            <w:r w:rsidRPr="00C06AAA">
              <w:rPr>
                <w:rFonts w:cs="Times New Roman"/>
                <w:sz w:val="22"/>
                <w:szCs w:val="22"/>
              </w:rPr>
              <w:t>Push-up (H2)</w:t>
            </w:r>
          </w:p>
        </w:tc>
        <w:tc>
          <w:tcPr>
            <w:tcW w:w="11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1489829" w14:textId="77777777" w:rsidR="00E92E2F" w:rsidRPr="00C06AAA" w:rsidRDefault="00000000" w:rsidP="00044ED7">
            <w:pPr>
              <w:jc w:val="center"/>
            </w:pPr>
            <w:r w:rsidRPr="00C06AAA">
              <w:rPr>
                <w:rFonts w:cs="Times New Roman"/>
                <w:sz w:val="22"/>
                <w:szCs w:val="22"/>
              </w:rPr>
              <w:t>35.78</w:t>
            </w:r>
          </w:p>
        </w:tc>
        <w:tc>
          <w:tcPr>
            <w:tcW w:w="1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9023815" w14:textId="1594B2B2" w:rsidR="00E92E2F" w:rsidRPr="00C06AAA" w:rsidRDefault="00000000" w:rsidP="00044ED7">
            <w:pPr>
              <w:jc w:val="center"/>
            </w:pPr>
            <w:r w:rsidRPr="00C06AAA">
              <w:rPr>
                <w:rFonts w:cs="Times New Roman"/>
                <w:sz w:val="22"/>
                <w:szCs w:val="22"/>
              </w:rPr>
              <w:t xml:space="preserve"> .001*</w:t>
            </w:r>
          </w:p>
        </w:tc>
        <w:tc>
          <w:tcPr>
            <w:tcW w:w="10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52E59A5" w14:textId="77777777" w:rsidR="00E92E2F" w:rsidRPr="00C06AAA" w:rsidRDefault="00000000" w:rsidP="00044ED7">
            <w:pPr>
              <w:jc w:val="center"/>
            </w:pPr>
            <w:r w:rsidRPr="00C06AAA">
              <w:rPr>
                <w:rFonts w:cs="Times New Roman"/>
                <w:sz w:val="22"/>
                <w:szCs w:val="22"/>
              </w:rPr>
              <w:t>.49</w:t>
            </w:r>
          </w:p>
        </w:tc>
        <w:tc>
          <w:tcPr>
            <w:tcW w:w="18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E31C484" w14:textId="77777777" w:rsidR="00E92E2F" w:rsidRPr="00C06AAA" w:rsidRDefault="00000000" w:rsidP="00044ED7">
            <w:pPr>
              <w:jc w:val="center"/>
            </w:pPr>
            <w:r w:rsidRPr="00C06AAA">
              <w:rPr>
                <w:rFonts w:cs="Times New Roman"/>
                <w:sz w:val="22"/>
                <w:szCs w:val="22"/>
              </w:rPr>
              <w:t>[.35, .59]</w:t>
            </w:r>
          </w:p>
        </w:tc>
        <w:tc>
          <w:tcPr>
            <w:tcW w:w="15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64CD0EC" w14:textId="77777777" w:rsidR="00E92E2F" w:rsidRPr="00C06AAA" w:rsidRDefault="00000000" w:rsidP="00044ED7">
            <w:pPr>
              <w:jc w:val="center"/>
            </w:pPr>
            <w:r w:rsidRPr="00C06AAA">
              <w:rPr>
                <w:rFonts w:cs="Times New Roman"/>
                <w:sz w:val="22"/>
                <w:szCs w:val="22"/>
              </w:rPr>
              <w:t>Large</w:t>
            </w:r>
          </w:p>
        </w:tc>
      </w:tr>
      <w:tr w:rsidR="00E92E2F" w:rsidRPr="00C06AAA" w14:paraId="31BD283C" w14:textId="77777777">
        <w:tc>
          <w:tcPr>
            <w:tcW w:w="265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B93655E" w14:textId="77777777" w:rsidR="00E92E2F" w:rsidRPr="00C06AAA" w:rsidRDefault="00000000" w:rsidP="00044ED7">
            <w:r w:rsidRPr="00C06AAA">
              <w:rPr>
                <w:rFonts w:cs="Times New Roman"/>
                <w:sz w:val="22"/>
                <w:szCs w:val="22"/>
              </w:rPr>
              <w:t>Curl-up (H2)</w:t>
            </w:r>
          </w:p>
        </w:tc>
        <w:tc>
          <w:tcPr>
            <w:tcW w:w="11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0A4A363" w14:textId="77777777" w:rsidR="00E92E2F" w:rsidRPr="00C06AAA" w:rsidRDefault="00000000" w:rsidP="00044ED7">
            <w:pPr>
              <w:jc w:val="center"/>
            </w:pPr>
            <w:r w:rsidRPr="00C06AAA">
              <w:rPr>
                <w:rFonts w:cs="Times New Roman"/>
                <w:sz w:val="22"/>
                <w:szCs w:val="22"/>
              </w:rPr>
              <w:t>32.45</w:t>
            </w:r>
          </w:p>
        </w:tc>
        <w:tc>
          <w:tcPr>
            <w:tcW w:w="1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71CD771" w14:textId="049811B6" w:rsidR="00E92E2F" w:rsidRPr="00C06AAA" w:rsidRDefault="00000000" w:rsidP="00044ED7">
            <w:pPr>
              <w:jc w:val="center"/>
            </w:pPr>
            <w:r w:rsidRPr="00C06AAA">
              <w:rPr>
                <w:rFonts w:cs="Times New Roman"/>
                <w:sz w:val="22"/>
                <w:szCs w:val="22"/>
              </w:rPr>
              <w:t xml:space="preserve"> .001*</w:t>
            </w:r>
          </w:p>
        </w:tc>
        <w:tc>
          <w:tcPr>
            <w:tcW w:w="10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881F905" w14:textId="77777777" w:rsidR="00E92E2F" w:rsidRPr="00C06AAA" w:rsidRDefault="00000000" w:rsidP="00044ED7">
            <w:pPr>
              <w:jc w:val="center"/>
            </w:pPr>
            <w:r w:rsidRPr="00C06AAA">
              <w:rPr>
                <w:rFonts w:cs="Times New Roman"/>
                <w:sz w:val="22"/>
                <w:szCs w:val="22"/>
              </w:rPr>
              <w:t>.46</w:t>
            </w:r>
          </w:p>
        </w:tc>
        <w:tc>
          <w:tcPr>
            <w:tcW w:w="18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D3B0F09" w14:textId="77777777" w:rsidR="00E92E2F" w:rsidRPr="00C06AAA" w:rsidRDefault="00000000" w:rsidP="00044ED7">
            <w:pPr>
              <w:jc w:val="center"/>
            </w:pPr>
            <w:r w:rsidRPr="00C06AAA">
              <w:rPr>
                <w:rFonts w:cs="Times New Roman"/>
                <w:sz w:val="22"/>
                <w:szCs w:val="22"/>
              </w:rPr>
              <w:t>[.32, .56]</w:t>
            </w:r>
          </w:p>
        </w:tc>
        <w:tc>
          <w:tcPr>
            <w:tcW w:w="15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DBC740F" w14:textId="77777777" w:rsidR="00E92E2F" w:rsidRPr="00C06AAA" w:rsidRDefault="00000000" w:rsidP="00044ED7">
            <w:pPr>
              <w:jc w:val="center"/>
            </w:pPr>
            <w:r w:rsidRPr="00C06AAA">
              <w:rPr>
                <w:rFonts w:cs="Times New Roman"/>
                <w:sz w:val="22"/>
                <w:szCs w:val="22"/>
              </w:rPr>
              <w:t>Large</w:t>
            </w:r>
          </w:p>
        </w:tc>
      </w:tr>
      <w:tr w:rsidR="00E92E2F" w:rsidRPr="00C06AAA" w14:paraId="6F2B3B15" w14:textId="77777777">
        <w:tc>
          <w:tcPr>
            <w:tcW w:w="265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0BD55E5" w14:textId="77777777" w:rsidR="00E92E2F" w:rsidRPr="00C06AAA" w:rsidRDefault="00000000" w:rsidP="00044ED7">
            <w:r w:rsidRPr="00C06AAA">
              <w:rPr>
                <w:rFonts w:cs="Times New Roman"/>
                <w:sz w:val="22"/>
                <w:szCs w:val="22"/>
              </w:rPr>
              <w:t>Sit-and-reach (H2)</w:t>
            </w:r>
          </w:p>
        </w:tc>
        <w:tc>
          <w:tcPr>
            <w:tcW w:w="11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A9512B3" w14:textId="77777777" w:rsidR="00E92E2F" w:rsidRPr="00C06AAA" w:rsidRDefault="00000000" w:rsidP="00044ED7">
            <w:pPr>
              <w:jc w:val="center"/>
            </w:pPr>
            <w:r w:rsidRPr="00C06AAA">
              <w:rPr>
                <w:rFonts w:cs="Times New Roman"/>
                <w:sz w:val="22"/>
                <w:szCs w:val="22"/>
              </w:rPr>
              <w:t>18.62</w:t>
            </w:r>
          </w:p>
        </w:tc>
        <w:tc>
          <w:tcPr>
            <w:tcW w:w="1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3FB3512" w14:textId="58EC2BB0" w:rsidR="00E92E2F" w:rsidRPr="00C06AAA" w:rsidRDefault="00000000" w:rsidP="00044ED7">
            <w:pPr>
              <w:jc w:val="center"/>
            </w:pPr>
            <w:r w:rsidRPr="00C06AAA">
              <w:rPr>
                <w:rFonts w:cs="Times New Roman"/>
                <w:sz w:val="22"/>
                <w:szCs w:val="22"/>
              </w:rPr>
              <w:t xml:space="preserve"> .001*</w:t>
            </w:r>
          </w:p>
        </w:tc>
        <w:tc>
          <w:tcPr>
            <w:tcW w:w="10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72FB76C" w14:textId="77777777" w:rsidR="00E92E2F" w:rsidRPr="00C06AAA" w:rsidRDefault="00000000" w:rsidP="00044ED7">
            <w:pPr>
              <w:jc w:val="center"/>
            </w:pPr>
            <w:r w:rsidRPr="00C06AAA">
              <w:rPr>
                <w:rFonts w:cs="Times New Roman"/>
                <w:sz w:val="22"/>
                <w:szCs w:val="22"/>
              </w:rPr>
              <w:t>.33</w:t>
            </w:r>
          </w:p>
        </w:tc>
        <w:tc>
          <w:tcPr>
            <w:tcW w:w="18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C9C99CD" w14:textId="77777777" w:rsidR="00E92E2F" w:rsidRPr="00C06AAA" w:rsidRDefault="00000000" w:rsidP="00044ED7">
            <w:pPr>
              <w:jc w:val="center"/>
            </w:pPr>
            <w:r w:rsidRPr="00C06AAA">
              <w:rPr>
                <w:rFonts w:cs="Times New Roman"/>
                <w:sz w:val="22"/>
                <w:szCs w:val="22"/>
              </w:rPr>
              <w:t>[.18, .45]</w:t>
            </w:r>
          </w:p>
        </w:tc>
        <w:tc>
          <w:tcPr>
            <w:tcW w:w="15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EC53911" w14:textId="77777777" w:rsidR="00E92E2F" w:rsidRPr="00C06AAA" w:rsidRDefault="00000000" w:rsidP="00044ED7">
            <w:pPr>
              <w:jc w:val="center"/>
            </w:pPr>
            <w:r w:rsidRPr="00C06AAA">
              <w:rPr>
                <w:rFonts w:cs="Times New Roman"/>
                <w:sz w:val="22"/>
                <w:szCs w:val="22"/>
              </w:rPr>
              <w:t>Large</w:t>
            </w:r>
          </w:p>
        </w:tc>
      </w:tr>
      <w:tr w:rsidR="00E92E2F" w:rsidRPr="00C06AAA" w14:paraId="2D7FBEE2" w14:textId="77777777">
        <w:tc>
          <w:tcPr>
            <w:tcW w:w="265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88682D9" w14:textId="77777777" w:rsidR="00E92E2F" w:rsidRPr="00C06AAA" w:rsidRDefault="00000000" w:rsidP="00044ED7">
            <w:r w:rsidRPr="00C06AAA">
              <w:rPr>
                <w:rFonts w:cs="Times New Roman"/>
                <w:sz w:val="22"/>
                <w:szCs w:val="22"/>
              </w:rPr>
              <w:t>BMI (H2)</w:t>
            </w:r>
          </w:p>
        </w:tc>
        <w:tc>
          <w:tcPr>
            <w:tcW w:w="11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B56A02B" w14:textId="77777777" w:rsidR="00E92E2F" w:rsidRPr="00C06AAA" w:rsidRDefault="00000000" w:rsidP="00044ED7">
            <w:pPr>
              <w:jc w:val="center"/>
            </w:pPr>
            <w:r w:rsidRPr="00C06AAA">
              <w:rPr>
                <w:rFonts w:cs="Times New Roman"/>
                <w:sz w:val="22"/>
                <w:szCs w:val="22"/>
              </w:rPr>
              <w:t>6.84</w:t>
            </w:r>
          </w:p>
        </w:tc>
        <w:tc>
          <w:tcPr>
            <w:tcW w:w="11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54B433A" w14:textId="7754DE18" w:rsidR="00E92E2F" w:rsidRPr="00C06AAA" w:rsidRDefault="00000000" w:rsidP="00044ED7">
            <w:pPr>
              <w:jc w:val="center"/>
            </w:pPr>
            <w:r w:rsidRPr="00C06AAA">
              <w:rPr>
                <w:rFonts w:cs="Times New Roman"/>
                <w:sz w:val="22"/>
                <w:szCs w:val="22"/>
              </w:rPr>
              <w:t xml:space="preserve"> .01*</w:t>
            </w:r>
          </w:p>
        </w:tc>
        <w:tc>
          <w:tcPr>
            <w:tcW w:w="10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35EC4FE" w14:textId="77777777" w:rsidR="00E92E2F" w:rsidRPr="00C06AAA" w:rsidRDefault="00000000" w:rsidP="00044ED7">
            <w:pPr>
              <w:jc w:val="center"/>
            </w:pPr>
            <w:r w:rsidRPr="00C06AAA">
              <w:rPr>
                <w:rFonts w:cs="Times New Roman"/>
                <w:sz w:val="22"/>
                <w:szCs w:val="22"/>
              </w:rPr>
              <w:t>.15</w:t>
            </w:r>
          </w:p>
        </w:tc>
        <w:tc>
          <w:tcPr>
            <w:tcW w:w="18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5B7EB3C" w14:textId="77777777" w:rsidR="00E92E2F" w:rsidRPr="00C06AAA" w:rsidRDefault="00000000" w:rsidP="00044ED7">
            <w:pPr>
              <w:jc w:val="center"/>
            </w:pPr>
            <w:r w:rsidRPr="00C06AAA">
              <w:rPr>
                <w:rFonts w:cs="Times New Roman"/>
                <w:sz w:val="22"/>
                <w:szCs w:val="22"/>
              </w:rPr>
              <w:t>[.04, .28]</w:t>
            </w:r>
          </w:p>
        </w:tc>
        <w:tc>
          <w:tcPr>
            <w:tcW w:w="15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BC84805" w14:textId="77777777" w:rsidR="00E92E2F" w:rsidRPr="00C06AAA" w:rsidRDefault="00000000" w:rsidP="00044ED7">
            <w:pPr>
              <w:jc w:val="center"/>
            </w:pPr>
            <w:r w:rsidRPr="00C06AAA">
              <w:rPr>
                <w:rFonts w:cs="Times New Roman"/>
                <w:sz w:val="22"/>
                <w:szCs w:val="22"/>
              </w:rPr>
              <w:t>Large</w:t>
            </w:r>
          </w:p>
        </w:tc>
      </w:tr>
      <w:tr w:rsidR="00E92E2F" w:rsidRPr="00C06AAA" w14:paraId="64E9F86B" w14:textId="77777777">
        <w:tc>
          <w:tcPr>
            <w:tcW w:w="2654"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18CAC07E" w14:textId="77777777" w:rsidR="00E92E2F" w:rsidRPr="00C06AAA" w:rsidRDefault="00000000" w:rsidP="00044ED7">
            <w:r w:rsidRPr="00C06AAA">
              <w:rPr>
                <w:rFonts w:cs="Times New Roman"/>
                <w:sz w:val="22"/>
                <w:szCs w:val="22"/>
              </w:rPr>
              <w:t>Attitude (H3)</w:t>
            </w:r>
          </w:p>
        </w:tc>
        <w:tc>
          <w:tcPr>
            <w:tcW w:w="118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354753D4" w14:textId="77777777" w:rsidR="00E92E2F" w:rsidRPr="00C06AAA" w:rsidRDefault="00000000" w:rsidP="00044ED7">
            <w:pPr>
              <w:jc w:val="center"/>
            </w:pPr>
            <w:r w:rsidRPr="00C06AAA">
              <w:rPr>
                <w:rFonts w:cs="Times New Roman"/>
                <w:sz w:val="22"/>
                <w:szCs w:val="22"/>
              </w:rPr>
              <w:t>28.74</w:t>
            </w:r>
          </w:p>
        </w:tc>
        <w:tc>
          <w:tcPr>
            <w:tcW w:w="110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0C67AC62" w14:textId="607E0A6E" w:rsidR="00E92E2F" w:rsidRPr="00C06AAA" w:rsidRDefault="00000000" w:rsidP="00044ED7">
            <w:pPr>
              <w:jc w:val="center"/>
            </w:pPr>
            <w:r w:rsidRPr="00C06AAA">
              <w:rPr>
                <w:rFonts w:cs="Times New Roman"/>
                <w:sz w:val="22"/>
                <w:szCs w:val="22"/>
              </w:rPr>
              <w:t>.001*</w:t>
            </w:r>
          </w:p>
        </w:tc>
        <w:tc>
          <w:tcPr>
            <w:tcW w:w="100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004CE035" w14:textId="77777777" w:rsidR="00E92E2F" w:rsidRPr="00C06AAA" w:rsidRDefault="00000000" w:rsidP="00044ED7">
            <w:pPr>
              <w:jc w:val="center"/>
            </w:pPr>
            <w:r w:rsidRPr="00C06AAA">
              <w:rPr>
                <w:rFonts w:cs="Times New Roman"/>
                <w:sz w:val="22"/>
                <w:szCs w:val="22"/>
              </w:rPr>
              <w:t>.43</w:t>
            </w:r>
          </w:p>
        </w:tc>
        <w:tc>
          <w:tcPr>
            <w:tcW w:w="188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2041F200" w14:textId="77777777" w:rsidR="00E92E2F" w:rsidRPr="00C06AAA" w:rsidRDefault="00000000" w:rsidP="00044ED7">
            <w:pPr>
              <w:jc w:val="center"/>
            </w:pPr>
            <w:r w:rsidRPr="00C06AAA">
              <w:rPr>
                <w:rFonts w:cs="Times New Roman"/>
                <w:sz w:val="22"/>
                <w:szCs w:val="22"/>
              </w:rPr>
              <w:t>[.29, .54]</w:t>
            </w:r>
          </w:p>
        </w:tc>
        <w:tc>
          <w:tcPr>
            <w:tcW w:w="150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1CEDABF1" w14:textId="77777777" w:rsidR="00E92E2F" w:rsidRPr="00C06AAA" w:rsidRDefault="00000000" w:rsidP="00044ED7">
            <w:pPr>
              <w:jc w:val="center"/>
            </w:pPr>
            <w:r w:rsidRPr="00C06AAA">
              <w:rPr>
                <w:rFonts w:cs="Times New Roman"/>
                <w:sz w:val="22"/>
                <w:szCs w:val="22"/>
              </w:rPr>
              <w:t>Large</w:t>
            </w:r>
          </w:p>
        </w:tc>
      </w:tr>
    </w:tbl>
    <w:p w14:paraId="7EEBFFBA" w14:textId="77777777" w:rsidR="00E92E2F" w:rsidRPr="00C06AAA" w:rsidRDefault="00000000" w:rsidP="00044ED7">
      <w:pPr>
        <w:spacing w:before="40"/>
      </w:pPr>
      <w:r w:rsidRPr="00C06AAA">
        <w:rPr>
          <w:rFonts w:cs="Times New Roman"/>
          <w:i/>
          <w:iCs/>
          <w:sz w:val="22"/>
          <w:szCs w:val="22"/>
        </w:rPr>
        <w:t>Note. *P &lt; .05. η²p interpreted per Cohen (1988): .01 small, .06 medium, .14 large. 95% confidence intervals for η²p are now reported (highlighted). All interactions remained significant after Benjamini–Hochberg FDR correction (q = .05).</w:t>
      </w:r>
    </w:p>
    <w:p w14:paraId="3EBE8120" w14:textId="53FCAF07" w:rsidR="00E92E2F" w:rsidRPr="00C06AAA" w:rsidRDefault="00000000" w:rsidP="00044ED7">
      <w:pPr>
        <w:spacing w:line="276" w:lineRule="auto"/>
        <w:ind w:firstLine="480"/>
        <w:jc w:val="both"/>
      </w:pPr>
      <w:r w:rsidRPr="00C06AAA">
        <w:rPr>
          <w:rFonts w:cs="Times New Roman"/>
          <w:b/>
          <w:bCs/>
        </w:rPr>
        <w:t xml:space="preserve">Within-group trajectory (H4). </w:t>
      </w:r>
      <w:r w:rsidRPr="00C06AAA">
        <w:rPr>
          <w:rFonts w:cs="Times New Roman"/>
        </w:rPr>
        <w:t>One-way repeated-measures ANOVA within the experimental group showed a significant main effect of time for every dependent variable, with very large effects (η²p = .63–.93). Sidak-corrected pairwise comparisons confirmed significant gains at both Pre → Mid and Mid → Post for all variables, with no plateau in the second half of the program (Table 7). The progressive pattern</w:t>
      </w:r>
      <w:r w:rsidR="00044ED7" w:rsidRPr="00C06AAA">
        <w:rPr>
          <w:rFonts w:cs="Times New Roman"/>
        </w:rPr>
        <w:t xml:space="preserve"> </w:t>
      </w:r>
      <w:r w:rsidRPr="00C06AAA">
        <w:rPr>
          <w:rFonts w:cs="Times New Roman"/>
        </w:rPr>
        <w:t>Pretest &lt; Midtest &lt; Posttest</w:t>
      </w:r>
      <w:r w:rsidR="00044ED7" w:rsidRPr="00C06AAA">
        <w:rPr>
          <w:rFonts w:cs="Times New Roman"/>
        </w:rPr>
        <w:t xml:space="preserve"> </w:t>
      </w:r>
      <w:r w:rsidRPr="00C06AAA">
        <w:rPr>
          <w:rFonts w:cs="Times New Roman"/>
        </w:rPr>
        <w:t>supported H4 and indicates continuous adaptation across the eight weeks.</w:t>
      </w:r>
    </w:p>
    <w:p w14:paraId="2D6C7A86" w14:textId="77777777" w:rsidR="00E92E2F" w:rsidRPr="00C06AAA" w:rsidRDefault="00000000" w:rsidP="00044ED7">
      <w:pPr>
        <w:keepNext/>
        <w:spacing w:before="160"/>
      </w:pPr>
      <w:r w:rsidRPr="00C06AAA">
        <w:rPr>
          <w:rFonts w:cs="Times New Roman"/>
          <w:b/>
          <w:bCs/>
        </w:rPr>
        <w:lastRenderedPageBreak/>
        <w:t>Table 7</w:t>
      </w:r>
      <w:r w:rsidRPr="00C06AAA">
        <w:rPr>
          <w:rFonts w:cs="Times New Roman"/>
        </w:rPr>
        <w:t xml:space="preserve"> Within-Experimental-Group Repeated-Measures ANOVA and Sidak Post-Hoc Comparisons (H4)</w:t>
      </w:r>
    </w:p>
    <w:tbl>
      <w:tblPr>
        <w:tblW w:w="93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2564"/>
        <w:gridCol w:w="1458"/>
        <w:gridCol w:w="1307"/>
        <w:gridCol w:w="1759"/>
        <w:gridCol w:w="2226"/>
      </w:tblGrid>
      <w:tr w:rsidR="00E92E2F" w:rsidRPr="00C06AAA" w14:paraId="6AA7E57E" w14:textId="77777777">
        <w:trPr>
          <w:tblHeader/>
        </w:trPr>
        <w:tc>
          <w:tcPr>
            <w:tcW w:w="255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35A52E9D" w14:textId="77777777" w:rsidR="00E92E2F" w:rsidRPr="00C06AAA" w:rsidRDefault="00000000" w:rsidP="00044ED7">
            <w:pPr>
              <w:jc w:val="center"/>
            </w:pPr>
            <w:r w:rsidRPr="00C06AAA">
              <w:rPr>
                <w:rFonts w:cs="Times New Roman"/>
                <w:b/>
                <w:bCs/>
                <w:sz w:val="22"/>
                <w:szCs w:val="22"/>
              </w:rPr>
              <w:t>Variable</w:t>
            </w:r>
          </w:p>
        </w:tc>
        <w:tc>
          <w:tcPr>
            <w:tcW w:w="145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1CF9FEE6" w14:textId="77777777" w:rsidR="00E92E2F" w:rsidRPr="00C06AAA" w:rsidRDefault="00000000" w:rsidP="00044ED7">
            <w:pPr>
              <w:jc w:val="center"/>
            </w:pPr>
            <w:r w:rsidRPr="00C06AAA">
              <w:rPr>
                <w:rFonts w:cs="Times New Roman"/>
                <w:b/>
                <w:bCs/>
                <w:sz w:val="22"/>
                <w:szCs w:val="22"/>
              </w:rPr>
              <w:t>F(2, 38)</w:t>
            </w:r>
          </w:p>
        </w:tc>
        <w:tc>
          <w:tcPr>
            <w:tcW w:w="130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3DB48A6E" w14:textId="77777777" w:rsidR="00E92E2F" w:rsidRPr="00C06AAA" w:rsidRDefault="00000000" w:rsidP="00044ED7">
            <w:pPr>
              <w:jc w:val="center"/>
            </w:pPr>
            <w:r w:rsidRPr="00C06AAA">
              <w:rPr>
                <w:rFonts w:cs="Times New Roman"/>
                <w:b/>
                <w:bCs/>
                <w:sz w:val="22"/>
                <w:szCs w:val="22"/>
              </w:rPr>
              <w:t>η²p</w:t>
            </w:r>
          </w:p>
        </w:tc>
        <w:tc>
          <w:tcPr>
            <w:tcW w:w="175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522F85BC" w14:textId="77777777" w:rsidR="00E92E2F" w:rsidRPr="00C06AAA" w:rsidRDefault="00000000" w:rsidP="00044ED7">
            <w:pPr>
              <w:jc w:val="center"/>
            </w:pPr>
            <w:r w:rsidRPr="00C06AAA">
              <w:rPr>
                <w:rFonts w:cs="Times New Roman"/>
                <w:b/>
                <w:bCs/>
                <w:sz w:val="22"/>
                <w:szCs w:val="22"/>
              </w:rPr>
              <w:t>Pre→Post MD</w:t>
            </w:r>
          </w:p>
        </w:tc>
        <w:tc>
          <w:tcPr>
            <w:tcW w:w="2214"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042A6D18" w14:textId="77777777" w:rsidR="00E92E2F" w:rsidRPr="00C06AAA" w:rsidRDefault="00000000" w:rsidP="00044ED7">
            <w:pPr>
              <w:jc w:val="center"/>
            </w:pPr>
            <w:r w:rsidRPr="00C06AAA">
              <w:rPr>
                <w:rFonts w:cs="Times New Roman"/>
                <w:b/>
                <w:bCs/>
                <w:sz w:val="22"/>
                <w:szCs w:val="22"/>
              </w:rPr>
              <w:t>Cohen’s d (Post)</w:t>
            </w:r>
          </w:p>
        </w:tc>
      </w:tr>
      <w:tr w:rsidR="00E92E2F" w:rsidRPr="00C06AAA" w14:paraId="57BE0ABF" w14:textId="77777777">
        <w:tc>
          <w:tcPr>
            <w:tcW w:w="25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61C0052" w14:textId="77777777" w:rsidR="00E92E2F" w:rsidRPr="00C06AAA" w:rsidRDefault="00000000" w:rsidP="00044ED7">
            <w:r w:rsidRPr="00C06AAA">
              <w:rPr>
                <w:rFonts w:cs="Times New Roman"/>
                <w:sz w:val="22"/>
                <w:szCs w:val="22"/>
              </w:rPr>
              <w:t>Badminton skill</w:t>
            </w:r>
          </w:p>
        </w:tc>
        <w:tc>
          <w:tcPr>
            <w:tcW w:w="14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B4512B2" w14:textId="77777777" w:rsidR="00E92E2F" w:rsidRPr="00C06AAA" w:rsidRDefault="00000000" w:rsidP="00044ED7">
            <w:pPr>
              <w:jc w:val="center"/>
            </w:pPr>
            <w:r w:rsidRPr="00C06AAA">
              <w:rPr>
                <w:rFonts w:cs="Times New Roman"/>
                <w:sz w:val="22"/>
                <w:szCs w:val="22"/>
              </w:rPr>
              <w:t>234.60</w:t>
            </w:r>
          </w:p>
        </w:tc>
        <w:tc>
          <w:tcPr>
            <w:tcW w:w="13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3EB0663" w14:textId="77777777" w:rsidR="00E92E2F" w:rsidRPr="00C06AAA" w:rsidRDefault="00000000" w:rsidP="00044ED7">
            <w:pPr>
              <w:jc w:val="center"/>
            </w:pPr>
            <w:r w:rsidRPr="00C06AAA">
              <w:rPr>
                <w:rFonts w:cs="Times New Roman"/>
                <w:sz w:val="22"/>
                <w:szCs w:val="22"/>
              </w:rPr>
              <w:t>.93</w:t>
            </w:r>
          </w:p>
        </w:tc>
        <w:tc>
          <w:tcPr>
            <w:tcW w:w="17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A60E7FE" w14:textId="77777777" w:rsidR="00E92E2F" w:rsidRPr="00C06AAA" w:rsidRDefault="00000000" w:rsidP="00044ED7">
            <w:pPr>
              <w:jc w:val="center"/>
            </w:pPr>
            <w:r w:rsidRPr="00C06AAA">
              <w:rPr>
                <w:rFonts w:cs="Times New Roman"/>
                <w:sz w:val="22"/>
                <w:szCs w:val="22"/>
              </w:rPr>
              <w:t>48.70*</w:t>
            </w:r>
          </w:p>
        </w:tc>
        <w:tc>
          <w:tcPr>
            <w:tcW w:w="22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2B0E7EC" w14:textId="77777777" w:rsidR="00E92E2F" w:rsidRPr="00C06AAA" w:rsidRDefault="00000000" w:rsidP="00044ED7">
            <w:pPr>
              <w:jc w:val="center"/>
            </w:pPr>
            <w:r w:rsidRPr="00C06AAA">
              <w:rPr>
                <w:rFonts w:cs="Times New Roman"/>
                <w:sz w:val="22"/>
                <w:szCs w:val="22"/>
              </w:rPr>
              <w:t>2.74</w:t>
            </w:r>
          </w:p>
        </w:tc>
      </w:tr>
      <w:tr w:rsidR="00E92E2F" w:rsidRPr="00C06AAA" w14:paraId="62F66DC3" w14:textId="77777777">
        <w:tc>
          <w:tcPr>
            <w:tcW w:w="25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0AF1C34" w14:textId="77777777" w:rsidR="00E92E2F" w:rsidRPr="00C06AAA" w:rsidRDefault="00000000" w:rsidP="00044ED7">
            <w:r w:rsidRPr="00C06AAA">
              <w:rPr>
                <w:rFonts w:cs="Times New Roman"/>
                <w:sz w:val="22"/>
                <w:szCs w:val="22"/>
              </w:rPr>
              <w:t>CRF VO₂max</w:t>
            </w:r>
          </w:p>
        </w:tc>
        <w:tc>
          <w:tcPr>
            <w:tcW w:w="14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8D9C710" w14:textId="77777777" w:rsidR="00E92E2F" w:rsidRPr="00C06AAA" w:rsidRDefault="00000000" w:rsidP="00044ED7">
            <w:pPr>
              <w:jc w:val="center"/>
            </w:pPr>
            <w:r w:rsidRPr="00C06AAA">
              <w:rPr>
                <w:rFonts w:cs="Times New Roman"/>
                <w:sz w:val="22"/>
                <w:szCs w:val="22"/>
              </w:rPr>
              <w:t>156.80</w:t>
            </w:r>
          </w:p>
        </w:tc>
        <w:tc>
          <w:tcPr>
            <w:tcW w:w="13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5B69849" w14:textId="77777777" w:rsidR="00E92E2F" w:rsidRPr="00C06AAA" w:rsidRDefault="00000000" w:rsidP="00044ED7">
            <w:pPr>
              <w:jc w:val="center"/>
            </w:pPr>
            <w:r w:rsidRPr="00C06AAA">
              <w:rPr>
                <w:rFonts w:cs="Times New Roman"/>
                <w:sz w:val="22"/>
                <w:szCs w:val="22"/>
              </w:rPr>
              <w:t>.89</w:t>
            </w:r>
          </w:p>
        </w:tc>
        <w:tc>
          <w:tcPr>
            <w:tcW w:w="17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8FD22CE" w14:textId="77777777" w:rsidR="00E92E2F" w:rsidRPr="00C06AAA" w:rsidRDefault="00000000" w:rsidP="00044ED7">
            <w:pPr>
              <w:jc w:val="center"/>
            </w:pPr>
            <w:r w:rsidRPr="00C06AAA">
              <w:rPr>
                <w:rFonts w:cs="Times New Roman"/>
                <w:sz w:val="22"/>
                <w:szCs w:val="22"/>
              </w:rPr>
              <w:t>7.80*</w:t>
            </w:r>
          </w:p>
        </w:tc>
        <w:tc>
          <w:tcPr>
            <w:tcW w:w="22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22CFD19" w14:textId="77777777" w:rsidR="00E92E2F" w:rsidRPr="00C06AAA" w:rsidRDefault="00000000" w:rsidP="00044ED7">
            <w:pPr>
              <w:jc w:val="center"/>
            </w:pPr>
            <w:r w:rsidRPr="00C06AAA">
              <w:rPr>
                <w:rFonts w:cs="Times New Roman"/>
                <w:sz w:val="22"/>
                <w:szCs w:val="22"/>
              </w:rPr>
              <w:t>1.95</w:t>
            </w:r>
          </w:p>
        </w:tc>
      </w:tr>
      <w:tr w:rsidR="00E92E2F" w:rsidRPr="00C06AAA" w14:paraId="5A438ED1" w14:textId="77777777">
        <w:tc>
          <w:tcPr>
            <w:tcW w:w="25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2DDCF32" w14:textId="77777777" w:rsidR="00E92E2F" w:rsidRPr="00C06AAA" w:rsidRDefault="00000000" w:rsidP="00044ED7">
            <w:r w:rsidRPr="00C06AAA">
              <w:rPr>
                <w:rFonts w:cs="Times New Roman"/>
                <w:sz w:val="22"/>
                <w:szCs w:val="22"/>
              </w:rPr>
              <w:t>Curl-up</w:t>
            </w:r>
          </w:p>
        </w:tc>
        <w:tc>
          <w:tcPr>
            <w:tcW w:w="14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2628695" w14:textId="77777777" w:rsidR="00E92E2F" w:rsidRPr="00C06AAA" w:rsidRDefault="00000000" w:rsidP="00044ED7">
            <w:pPr>
              <w:jc w:val="center"/>
            </w:pPr>
            <w:r w:rsidRPr="00C06AAA">
              <w:rPr>
                <w:rFonts w:cs="Times New Roman"/>
                <w:sz w:val="22"/>
                <w:szCs w:val="22"/>
              </w:rPr>
              <w:t>184.20</w:t>
            </w:r>
          </w:p>
        </w:tc>
        <w:tc>
          <w:tcPr>
            <w:tcW w:w="13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8D1DEAB" w14:textId="77777777" w:rsidR="00E92E2F" w:rsidRPr="00C06AAA" w:rsidRDefault="00000000" w:rsidP="00044ED7">
            <w:pPr>
              <w:jc w:val="center"/>
            </w:pPr>
            <w:r w:rsidRPr="00C06AAA">
              <w:rPr>
                <w:rFonts w:cs="Times New Roman"/>
                <w:sz w:val="22"/>
                <w:szCs w:val="22"/>
              </w:rPr>
              <w:t>.91</w:t>
            </w:r>
          </w:p>
        </w:tc>
        <w:tc>
          <w:tcPr>
            <w:tcW w:w="17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658061B" w14:textId="77777777" w:rsidR="00E92E2F" w:rsidRPr="00C06AAA" w:rsidRDefault="00000000" w:rsidP="00044ED7">
            <w:pPr>
              <w:jc w:val="center"/>
            </w:pPr>
            <w:r w:rsidRPr="00C06AAA">
              <w:rPr>
                <w:rFonts w:cs="Times New Roman"/>
                <w:sz w:val="22"/>
                <w:szCs w:val="22"/>
              </w:rPr>
              <w:t>9.90*</w:t>
            </w:r>
          </w:p>
        </w:tc>
        <w:tc>
          <w:tcPr>
            <w:tcW w:w="22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9EF3EA8" w14:textId="77777777" w:rsidR="00E92E2F" w:rsidRPr="00C06AAA" w:rsidRDefault="00000000" w:rsidP="00044ED7">
            <w:pPr>
              <w:jc w:val="center"/>
            </w:pPr>
            <w:r w:rsidRPr="00C06AAA">
              <w:rPr>
                <w:rFonts w:cs="Times New Roman"/>
                <w:sz w:val="22"/>
                <w:szCs w:val="22"/>
              </w:rPr>
              <w:t>2.06</w:t>
            </w:r>
          </w:p>
        </w:tc>
      </w:tr>
      <w:tr w:rsidR="00E92E2F" w:rsidRPr="00C06AAA" w14:paraId="4623CE3E" w14:textId="77777777">
        <w:tc>
          <w:tcPr>
            <w:tcW w:w="25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CCAD552" w14:textId="77777777" w:rsidR="00E92E2F" w:rsidRPr="00C06AAA" w:rsidRDefault="00000000" w:rsidP="00044ED7">
            <w:r w:rsidRPr="00C06AAA">
              <w:rPr>
                <w:rFonts w:cs="Times New Roman"/>
                <w:sz w:val="22"/>
                <w:szCs w:val="22"/>
              </w:rPr>
              <w:t>Push-up</w:t>
            </w:r>
          </w:p>
        </w:tc>
        <w:tc>
          <w:tcPr>
            <w:tcW w:w="14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C668C1F" w14:textId="77777777" w:rsidR="00E92E2F" w:rsidRPr="00C06AAA" w:rsidRDefault="00000000" w:rsidP="00044ED7">
            <w:pPr>
              <w:jc w:val="center"/>
            </w:pPr>
            <w:r w:rsidRPr="00C06AAA">
              <w:rPr>
                <w:rFonts w:cs="Times New Roman"/>
                <w:sz w:val="22"/>
                <w:szCs w:val="22"/>
              </w:rPr>
              <w:t>198.50</w:t>
            </w:r>
          </w:p>
        </w:tc>
        <w:tc>
          <w:tcPr>
            <w:tcW w:w="13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51A594D" w14:textId="77777777" w:rsidR="00E92E2F" w:rsidRPr="00C06AAA" w:rsidRDefault="00000000" w:rsidP="00044ED7">
            <w:pPr>
              <w:jc w:val="center"/>
            </w:pPr>
            <w:r w:rsidRPr="00C06AAA">
              <w:rPr>
                <w:rFonts w:cs="Times New Roman"/>
                <w:sz w:val="22"/>
                <w:szCs w:val="22"/>
              </w:rPr>
              <w:t>.91</w:t>
            </w:r>
          </w:p>
        </w:tc>
        <w:tc>
          <w:tcPr>
            <w:tcW w:w="17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EE0C939" w14:textId="77777777" w:rsidR="00E92E2F" w:rsidRPr="00C06AAA" w:rsidRDefault="00000000" w:rsidP="00044ED7">
            <w:pPr>
              <w:jc w:val="center"/>
            </w:pPr>
            <w:r w:rsidRPr="00C06AAA">
              <w:rPr>
                <w:rFonts w:cs="Times New Roman"/>
                <w:sz w:val="22"/>
                <w:szCs w:val="22"/>
              </w:rPr>
              <w:t>8.80*</w:t>
            </w:r>
          </w:p>
        </w:tc>
        <w:tc>
          <w:tcPr>
            <w:tcW w:w="22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09458EA" w14:textId="77777777" w:rsidR="00E92E2F" w:rsidRPr="00C06AAA" w:rsidRDefault="00000000" w:rsidP="00044ED7">
            <w:pPr>
              <w:jc w:val="center"/>
            </w:pPr>
            <w:r w:rsidRPr="00C06AAA">
              <w:rPr>
                <w:rFonts w:cs="Times New Roman"/>
                <w:sz w:val="22"/>
                <w:szCs w:val="22"/>
              </w:rPr>
              <w:t>2.20</w:t>
            </w:r>
          </w:p>
        </w:tc>
      </w:tr>
      <w:tr w:rsidR="00E92E2F" w:rsidRPr="00C06AAA" w14:paraId="2B5D7EDB" w14:textId="77777777">
        <w:tc>
          <w:tcPr>
            <w:tcW w:w="25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6ABF411" w14:textId="77777777" w:rsidR="00E92E2F" w:rsidRPr="00C06AAA" w:rsidRDefault="00000000" w:rsidP="00044ED7">
            <w:r w:rsidRPr="00C06AAA">
              <w:rPr>
                <w:rFonts w:cs="Times New Roman"/>
                <w:sz w:val="22"/>
                <w:szCs w:val="22"/>
              </w:rPr>
              <w:t>Sit-and-reach</w:t>
            </w:r>
          </w:p>
        </w:tc>
        <w:tc>
          <w:tcPr>
            <w:tcW w:w="14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DBF1E51" w14:textId="77777777" w:rsidR="00E92E2F" w:rsidRPr="00C06AAA" w:rsidRDefault="00000000" w:rsidP="00044ED7">
            <w:pPr>
              <w:jc w:val="center"/>
            </w:pPr>
            <w:r w:rsidRPr="00C06AAA">
              <w:rPr>
                <w:rFonts w:cs="Times New Roman"/>
                <w:sz w:val="22"/>
                <w:szCs w:val="22"/>
              </w:rPr>
              <w:t>86.40</w:t>
            </w:r>
          </w:p>
        </w:tc>
        <w:tc>
          <w:tcPr>
            <w:tcW w:w="13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7FB0A14" w14:textId="77777777" w:rsidR="00E92E2F" w:rsidRPr="00C06AAA" w:rsidRDefault="00000000" w:rsidP="00044ED7">
            <w:pPr>
              <w:jc w:val="center"/>
            </w:pPr>
            <w:r w:rsidRPr="00C06AAA">
              <w:rPr>
                <w:rFonts w:cs="Times New Roman"/>
                <w:sz w:val="22"/>
                <w:szCs w:val="22"/>
              </w:rPr>
              <w:t>.82</w:t>
            </w:r>
          </w:p>
        </w:tc>
        <w:tc>
          <w:tcPr>
            <w:tcW w:w="17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4BE7675" w14:textId="77777777" w:rsidR="00E92E2F" w:rsidRPr="00C06AAA" w:rsidRDefault="00000000" w:rsidP="00044ED7">
            <w:pPr>
              <w:jc w:val="center"/>
            </w:pPr>
            <w:r w:rsidRPr="00C06AAA">
              <w:rPr>
                <w:rFonts w:cs="Times New Roman"/>
                <w:sz w:val="22"/>
                <w:szCs w:val="22"/>
              </w:rPr>
              <w:t>5.60*</w:t>
            </w:r>
          </w:p>
        </w:tc>
        <w:tc>
          <w:tcPr>
            <w:tcW w:w="22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9D35480" w14:textId="77777777" w:rsidR="00E92E2F" w:rsidRPr="00C06AAA" w:rsidRDefault="00000000" w:rsidP="00044ED7">
            <w:pPr>
              <w:jc w:val="center"/>
            </w:pPr>
            <w:r w:rsidRPr="00C06AAA">
              <w:rPr>
                <w:rFonts w:cs="Times New Roman"/>
                <w:sz w:val="22"/>
                <w:szCs w:val="22"/>
              </w:rPr>
              <w:t>1.01</w:t>
            </w:r>
          </w:p>
        </w:tc>
      </w:tr>
      <w:tr w:rsidR="00E92E2F" w:rsidRPr="00C06AAA" w14:paraId="1C9850F1" w14:textId="77777777">
        <w:tc>
          <w:tcPr>
            <w:tcW w:w="25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CD84E8E" w14:textId="77777777" w:rsidR="00E92E2F" w:rsidRPr="00C06AAA" w:rsidRDefault="00000000" w:rsidP="00044ED7">
            <w:r w:rsidRPr="00C06AAA">
              <w:rPr>
                <w:rFonts w:cs="Times New Roman"/>
                <w:sz w:val="22"/>
                <w:szCs w:val="22"/>
              </w:rPr>
              <w:t>BMI</w:t>
            </w:r>
          </w:p>
        </w:tc>
        <w:tc>
          <w:tcPr>
            <w:tcW w:w="14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14A83DD" w14:textId="77777777" w:rsidR="00E92E2F" w:rsidRPr="00C06AAA" w:rsidRDefault="00000000" w:rsidP="00044ED7">
            <w:pPr>
              <w:jc w:val="center"/>
            </w:pPr>
            <w:r w:rsidRPr="00C06AAA">
              <w:rPr>
                <w:rFonts w:cs="Times New Roman"/>
                <w:sz w:val="22"/>
                <w:szCs w:val="22"/>
              </w:rPr>
              <w:t>32.70</w:t>
            </w:r>
          </w:p>
        </w:tc>
        <w:tc>
          <w:tcPr>
            <w:tcW w:w="13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2B18CCD" w14:textId="77777777" w:rsidR="00E92E2F" w:rsidRPr="00C06AAA" w:rsidRDefault="00000000" w:rsidP="00044ED7">
            <w:pPr>
              <w:jc w:val="center"/>
            </w:pPr>
            <w:r w:rsidRPr="00C06AAA">
              <w:rPr>
                <w:rFonts w:cs="Times New Roman"/>
                <w:sz w:val="22"/>
                <w:szCs w:val="22"/>
              </w:rPr>
              <w:t>.63</w:t>
            </w:r>
          </w:p>
        </w:tc>
        <w:tc>
          <w:tcPr>
            <w:tcW w:w="17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073744E" w14:textId="77777777" w:rsidR="00E92E2F" w:rsidRPr="00C06AAA" w:rsidRDefault="00000000" w:rsidP="00044ED7">
            <w:pPr>
              <w:jc w:val="center"/>
            </w:pPr>
            <w:r w:rsidRPr="00C06AAA">
              <w:rPr>
                <w:rFonts w:cs="Times New Roman"/>
                <w:sz w:val="22"/>
                <w:szCs w:val="22"/>
              </w:rPr>
              <w:t>−0.60*</w:t>
            </w:r>
          </w:p>
        </w:tc>
        <w:tc>
          <w:tcPr>
            <w:tcW w:w="22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841BA63" w14:textId="77777777" w:rsidR="00E92E2F" w:rsidRPr="00C06AAA" w:rsidRDefault="00000000" w:rsidP="00044ED7">
            <w:pPr>
              <w:jc w:val="center"/>
            </w:pPr>
            <w:r w:rsidRPr="00C06AAA">
              <w:rPr>
                <w:rFonts w:cs="Times New Roman"/>
                <w:sz w:val="22"/>
                <w:szCs w:val="22"/>
              </w:rPr>
              <w:t>0.24</w:t>
            </w:r>
          </w:p>
        </w:tc>
      </w:tr>
      <w:tr w:rsidR="00E92E2F" w:rsidRPr="00C06AAA" w14:paraId="228E7491" w14:textId="77777777">
        <w:tc>
          <w:tcPr>
            <w:tcW w:w="255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1A65F363" w14:textId="77777777" w:rsidR="00E92E2F" w:rsidRPr="00C06AAA" w:rsidRDefault="00000000" w:rsidP="00044ED7">
            <w:r w:rsidRPr="00C06AAA">
              <w:rPr>
                <w:rFonts w:cs="Times New Roman"/>
                <w:sz w:val="22"/>
                <w:szCs w:val="22"/>
              </w:rPr>
              <w:t>Attitude</w:t>
            </w:r>
          </w:p>
        </w:tc>
        <w:tc>
          <w:tcPr>
            <w:tcW w:w="145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5436DB87" w14:textId="77777777" w:rsidR="00E92E2F" w:rsidRPr="00C06AAA" w:rsidRDefault="00000000" w:rsidP="00044ED7">
            <w:pPr>
              <w:jc w:val="center"/>
            </w:pPr>
            <w:r w:rsidRPr="00C06AAA">
              <w:rPr>
                <w:rFonts w:cs="Times New Roman"/>
                <w:sz w:val="22"/>
                <w:szCs w:val="22"/>
              </w:rPr>
              <w:t>142.30</w:t>
            </w:r>
          </w:p>
        </w:tc>
        <w:tc>
          <w:tcPr>
            <w:tcW w:w="130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5790BD95" w14:textId="77777777" w:rsidR="00E92E2F" w:rsidRPr="00C06AAA" w:rsidRDefault="00000000" w:rsidP="00044ED7">
            <w:pPr>
              <w:jc w:val="center"/>
            </w:pPr>
            <w:r w:rsidRPr="00C06AAA">
              <w:rPr>
                <w:rFonts w:cs="Times New Roman"/>
                <w:sz w:val="22"/>
                <w:szCs w:val="22"/>
              </w:rPr>
              <w:t>.88</w:t>
            </w:r>
          </w:p>
        </w:tc>
        <w:tc>
          <w:tcPr>
            <w:tcW w:w="175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66C5DA6A" w14:textId="77777777" w:rsidR="00E92E2F" w:rsidRPr="00C06AAA" w:rsidRDefault="00000000" w:rsidP="00044ED7">
            <w:pPr>
              <w:jc w:val="center"/>
            </w:pPr>
            <w:r w:rsidRPr="00C06AAA">
              <w:rPr>
                <w:rFonts w:cs="Times New Roman"/>
                <w:sz w:val="22"/>
                <w:szCs w:val="22"/>
              </w:rPr>
              <w:t>26.20*</w:t>
            </w:r>
          </w:p>
        </w:tc>
        <w:tc>
          <w:tcPr>
            <w:tcW w:w="2214"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4F58F3D1" w14:textId="77777777" w:rsidR="00E92E2F" w:rsidRPr="00C06AAA" w:rsidRDefault="00000000" w:rsidP="00044ED7">
            <w:pPr>
              <w:jc w:val="center"/>
            </w:pPr>
            <w:r w:rsidRPr="00C06AAA">
              <w:rPr>
                <w:rFonts w:cs="Times New Roman"/>
                <w:sz w:val="22"/>
                <w:szCs w:val="22"/>
              </w:rPr>
              <w:t>2.89</w:t>
            </w:r>
          </w:p>
        </w:tc>
      </w:tr>
    </w:tbl>
    <w:p w14:paraId="4E1A97C5" w14:textId="77777777" w:rsidR="00E92E2F" w:rsidRPr="00C06AAA" w:rsidRDefault="00000000" w:rsidP="00044ED7">
      <w:pPr>
        <w:spacing w:before="40"/>
      </w:pPr>
      <w:r w:rsidRPr="00C06AAA">
        <w:rPr>
          <w:rFonts w:cs="Times New Roman"/>
          <w:i/>
          <w:iCs/>
          <w:sz w:val="22"/>
          <w:szCs w:val="22"/>
        </w:rPr>
        <w:t>Note. All F-values significant at *P &lt; .001. *P &lt; .05 (Sidak-corrected) for the Pre→Post mean difference (MD); all pairwise steps (Pre→Mid, Mid→Post) were also significant at *P &lt; .05.</w:t>
      </w:r>
    </w:p>
    <w:p w14:paraId="6D3D4A23" w14:textId="77777777" w:rsidR="00E92E2F" w:rsidRPr="00C06AAA" w:rsidRDefault="00000000" w:rsidP="00044ED7">
      <w:pPr>
        <w:spacing w:line="276" w:lineRule="auto"/>
        <w:ind w:firstLine="480"/>
        <w:jc w:val="both"/>
      </w:pPr>
      <w:r w:rsidRPr="00C06AAA">
        <w:rPr>
          <w:rFonts w:cs="Times New Roman"/>
          <w:b/>
          <w:bCs/>
        </w:rPr>
        <w:t xml:space="preserve">Summary of hypothesis testing. </w:t>
      </w:r>
      <w:r w:rsidRPr="00C06AAA">
        <w:rPr>
          <w:rFonts w:cs="Times New Roman"/>
        </w:rPr>
        <w:t>Table 8 consolidates the evidence against the four hypotheses. All four were accepted: the experimental group outperformed the control group on skill, fitness, and attitude, and the within-group trajectory was progressive and significant. Effect magnitudes were large to very large for the primary outcomes, indicating that the differences are not only statistically reliable but also practically meaningful.</w:t>
      </w:r>
    </w:p>
    <w:p w14:paraId="63521E4B" w14:textId="77777777" w:rsidR="00E92E2F" w:rsidRPr="00C06AAA" w:rsidRDefault="00000000" w:rsidP="00044ED7">
      <w:pPr>
        <w:keepNext/>
        <w:spacing w:before="160"/>
      </w:pPr>
      <w:r w:rsidRPr="00C06AAA">
        <w:rPr>
          <w:rFonts w:cs="Times New Roman"/>
          <w:b/>
          <w:bCs/>
        </w:rPr>
        <w:t>Table 8</w:t>
      </w:r>
      <w:r w:rsidRPr="00C06AAA">
        <w:rPr>
          <w:rFonts w:cs="Times New Roman"/>
        </w:rPr>
        <w:t xml:space="preserve"> Summary of Hypothesis Testing (H1–H4)</w:t>
      </w:r>
    </w:p>
    <w:tbl>
      <w:tblPr>
        <w:tblW w:w="93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800"/>
        <w:gridCol w:w="4250"/>
        <w:gridCol w:w="2050"/>
        <w:gridCol w:w="2214"/>
      </w:tblGrid>
      <w:tr w:rsidR="00E92E2F" w:rsidRPr="00C06AAA" w14:paraId="454FDCD6" w14:textId="77777777">
        <w:trPr>
          <w:tblHeader/>
        </w:trPr>
        <w:tc>
          <w:tcPr>
            <w:tcW w:w="80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60610D91" w14:textId="77777777" w:rsidR="00E92E2F" w:rsidRPr="00C06AAA" w:rsidRDefault="00000000" w:rsidP="00044ED7">
            <w:pPr>
              <w:jc w:val="center"/>
            </w:pPr>
            <w:r w:rsidRPr="00C06AAA">
              <w:rPr>
                <w:rFonts w:cs="Times New Roman"/>
                <w:b/>
                <w:bCs/>
                <w:sz w:val="22"/>
                <w:szCs w:val="22"/>
              </w:rPr>
              <w:t>H</w:t>
            </w:r>
          </w:p>
        </w:tc>
        <w:tc>
          <w:tcPr>
            <w:tcW w:w="425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06526A37" w14:textId="77777777" w:rsidR="00E92E2F" w:rsidRPr="00C06AAA" w:rsidRDefault="00000000" w:rsidP="00044ED7">
            <w:pPr>
              <w:jc w:val="center"/>
            </w:pPr>
            <w:r w:rsidRPr="00C06AAA">
              <w:rPr>
                <w:rFonts w:cs="Times New Roman"/>
                <w:b/>
                <w:bCs/>
                <w:sz w:val="22"/>
                <w:szCs w:val="22"/>
              </w:rPr>
              <w:t>Statement</w:t>
            </w:r>
          </w:p>
        </w:tc>
        <w:tc>
          <w:tcPr>
            <w:tcW w:w="2050"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22C18118" w14:textId="77777777" w:rsidR="00E92E2F" w:rsidRPr="00C06AAA" w:rsidRDefault="00000000" w:rsidP="00044ED7">
            <w:pPr>
              <w:jc w:val="center"/>
            </w:pPr>
            <w:r w:rsidRPr="00C06AAA">
              <w:rPr>
                <w:rFonts w:cs="Times New Roman"/>
                <w:b/>
                <w:bCs/>
                <w:sz w:val="22"/>
                <w:szCs w:val="22"/>
              </w:rPr>
              <w:t>Key statistic</w:t>
            </w:r>
          </w:p>
        </w:tc>
        <w:tc>
          <w:tcPr>
            <w:tcW w:w="2214" w:type="dxa"/>
            <w:tcBorders>
              <w:top w:val="single" w:sz="4" w:space="0" w:color="000000"/>
              <w:left w:val="none" w:sz="0" w:space="0" w:color="FFFFFF"/>
              <w:bottom w:val="single" w:sz="4" w:space="0" w:color="000000"/>
              <w:right w:val="none" w:sz="0" w:space="0" w:color="FFFFFF"/>
            </w:tcBorders>
            <w:shd w:val="clear" w:color="auto" w:fill="E8EEF4"/>
            <w:tcMar>
              <w:top w:w="40" w:type="dxa"/>
              <w:left w:w="80" w:type="dxa"/>
              <w:bottom w:w="40" w:type="dxa"/>
              <w:right w:w="80" w:type="dxa"/>
            </w:tcMar>
            <w:vAlign w:val="center"/>
          </w:tcPr>
          <w:p w14:paraId="748249A3" w14:textId="77777777" w:rsidR="00E92E2F" w:rsidRPr="00C06AAA" w:rsidRDefault="00000000" w:rsidP="00044ED7">
            <w:pPr>
              <w:jc w:val="center"/>
            </w:pPr>
            <w:r w:rsidRPr="00C06AAA">
              <w:rPr>
                <w:rFonts w:cs="Times New Roman"/>
                <w:b/>
                <w:bCs/>
                <w:sz w:val="22"/>
                <w:szCs w:val="22"/>
              </w:rPr>
              <w:t>Decision</w:t>
            </w:r>
          </w:p>
        </w:tc>
      </w:tr>
      <w:tr w:rsidR="00E92E2F" w:rsidRPr="00C06AAA" w14:paraId="41B58861" w14:textId="77777777">
        <w:tc>
          <w:tcPr>
            <w:tcW w:w="8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3D7E9DE" w14:textId="77777777" w:rsidR="00E92E2F" w:rsidRPr="00C06AAA" w:rsidRDefault="00000000" w:rsidP="00044ED7">
            <w:r w:rsidRPr="00C06AAA">
              <w:rPr>
                <w:rFonts w:cs="Times New Roman"/>
                <w:sz w:val="22"/>
                <w:szCs w:val="22"/>
              </w:rPr>
              <w:t>H1</w:t>
            </w:r>
          </w:p>
        </w:tc>
        <w:tc>
          <w:tcPr>
            <w:tcW w:w="42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D33A13F" w14:textId="77777777" w:rsidR="00E92E2F" w:rsidRPr="00C06AAA" w:rsidRDefault="00000000" w:rsidP="00044ED7">
            <w:pPr>
              <w:jc w:val="center"/>
            </w:pPr>
            <w:r w:rsidRPr="00C06AAA">
              <w:rPr>
                <w:rFonts w:cs="Times New Roman"/>
                <w:sz w:val="22"/>
                <w:szCs w:val="22"/>
              </w:rPr>
              <w:t>Exp. &gt; Ctrl. in badminton skill</w:t>
            </w:r>
          </w:p>
        </w:tc>
        <w:tc>
          <w:tcPr>
            <w:tcW w:w="20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30BDBF2F" w14:textId="77777777" w:rsidR="00E92E2F" w:rsidRPr="00C06AAA" w:rsidRDefault="00000000" w:rsidP="00044ED7">
            <w:pPr>
              <w:jc w:val="center"/>
            </w:pPr>
            <w:r w:rsidRPr="00C06AAA">
              <w:rPr>
                <w:rFonts w:cs="Times New Roman"/>
                <w:sz w:val="22"/>
                <w:szCs w:val="22"/>
              </w:rPr>
              <w:t>η²p = .53 (large)</w:t>
            </w:r>
          </w:p>
        </w:tc>
        <w:tc>
          <w:tcPr>
            <w:tcW w:w="22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A5C4AFB" w14:textId="77777777" w:rsidR="00E92E2F" w:rsidRPr="00C06AAA" w:rsidRDefault="00000000" w:rsidP="00044ED7">
            <w:pPr>
              <w:jc w:val="center"/>
            </w:pPr>
            <w:r w:rsidRPr="00C06AAA">
              <w:rPr>
                <w:rFonts w:cs="Times New Roman"/>
                <w:sz w:val="22"/>
                <w:szCs w:val="22"/>
              </w:rPr>
              <w:t>Accepted</w:t>
            </w:r>
          </w:p>
        </w:tc>
      </w:tr>
      <w:tr w:rsidR="00E92E2F" w:rsidRPr="00C06AAA" w14:paraId="2AC9CBCD" w14:textId="77777777">
        <w:tc>
          <w:tcPr>
            <w:tcW w:w="8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C3DBB31" w14:textId="77777777" w:rsidR="00E92E2F" w:rsidRPr="00C06AAA" w:rsidRDefault="00000000" w:rsidP="00044ED7">
            <w:r w:rsidRPr="00C06AAA">
              <w:rPr>
                <w:rFonts w:cs="Times New Roman"/>
                <w:sz w:val="22"/>
                <w:szCs w:val="22"/>
              </w:rPr>
              <w:t>H2</w:t>
            </w:r>
          </w:p>
        </w:tc>
        <w:tc>
          <w:tcPr>
            <w:tcW w:w="42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7432B5B" w14:textId="77777777" w:rsidR="00E92E2F" w:rsidRPr="00C06AAA" w:rsidRDefault="00000000" w:rsidP="00044ED7">
            <w:pPr>
              <w:jc w:val="center"/>
            </w:pPr>
            <w:r w:rsidRPr="00C06AAA">
              <w:rPr>
                <w:rFonts w:cs="Times New Roman"/>
                <w:sz w:val="22"/>
                <w:szCs w:val="22"/>
              </w:rPr>
              <w:t>Exp. &gt; Ctrl. in HRPF (5 components)</w:t>
            </w:r>
          </w:p>
        </w:tc>
        <w:tc>
          <w:tcPr>
            <w:tcW w:w="20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6E312C3" w14:textId="77777777" w:rsidR="00E92E2F" w:rsidRPr="00C06AAA" w:rsidRDefault="00000000" w:rsidP="00044ED7">
            <w:pPr>
              <w:jc w:val="center"/>
            </w:pPr>
            <w:r w:rsidRPr="00C06AAA">
              <w:rPr>
                <w:rFonts w:cs="Times New Roman"/>
                <w:sz w:val="22"/>
                <w:szCs w:val="22"/>
              </w:rPr>
              <w:t>η²p = .15–.51</w:t>
            </w:r>
          </w:p>
        </w:tc>
        <w:tc>
          <w:tcPr>
            <w:tcW w:w="22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0536801" w14:textId="77777777" w:rsidR="00E92E2F" w:rsidRPr="00C06AAA" w:rsidRDefault="00000000" w:rsidP="00044ED7">
            <w:pPr>
              <w:jc w:val="center"/>
            </w:pPr>
            <w:r w:rsidRPr="00C06AAA">
              <w:rPr>
                <w:rFonts w:cs="Times New Roman"/>
                <w:sz w:val="22"/>
                <w:szCs w:val="22"/>
              </w:rPr>
              <w:t>Accepted</w:t>
            </w:r>
          </w:p>
        </w:tc>
      </w:tr>
      <w:tr w:rsidR="00E92E2F" w:rsidRPr="00C06AAA" w14:paraId="03B508A9" w14:textId="77777777">
        <w:tc>
          <w:tcPr>
            <w:tcW w:w="8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1A9C3E5C" w14:textId="77777777" w:rsidR="00E92E2F" w:rsidRPr="00C06AAA" w:rsidRDefault="00000000" w:rsidP="00044ED7">
            <w:r w:rsidRPr="00C06AAA">
              <w:rPr>
                <w:rFonts w:cs="Times New Roman"/>
                <w:sz w:val="22"/>
                <w:szCs w:val="22"/>
              </w:rPr>
              <w:t>H3</w:t>
            </w:r>
          </w:p>
        </w:tc>
        <w:tc>
          <w:tcPr>
            <w:tcW w:w="42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710FC73" w14:textId="77777777" w:rsidR="00E92E2F" w:rsidRPr="00C06AAA" w:rsidRDefault="00000000" w:rsidP="00044ED7">
            <w:pPr>
              <w:jc w:val="center"/>
            </w:pPr>
            <w:r w:rsidRPr="00C06AAA">
              <w:rPr>
                <w:rFonts w:cs="Times New Roman"/>
                <w:sz w:val="22"/>
                <w:szCs w:val="22"/>
              </w:rPr>
              <w:t>Exp. &gt; Ctrl. in attitude</w:t>
            </w:r>
          </w:p>
        </w:tc>
        <w:tc>
          <w:tcPr>
            <w:tcW w:w="205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61B1CE59" w14:textId="77777777" w:rsidR="00E92E2F" w:rsidRPr="00C06AAA" w:rsidRDefault="00000000" w:rsidP="00044ED7">
            <w:pPr>
              <w:jc w:val="center"/>
            </w:pPr>
            <w:r w:rsidRPr="00C06AAA">
              <w:rPr>
                <w:rFonts w:cs="Times New Roman"/>
                <w:sz w:val="22"/>
                <w:szCs w:val="22"/>
              </w:rPr>
              <w:t>η²p = .43 (large)</w:t>
            </w:r>
          </w:p>
        </w:tc>
        <w:tc>
          <w:tcPr>
            <w:tcW w:w="2214"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D460EDC" w14:textId="77777777" w:rsidR="00E92E2F" w:rsidRPr="00C06AAA" w:rsidRDefault="00000000" w:rsidP="00044ED7">
            <w:pPr>
              <w:jc w:val="center"/>
            </w:pPr>
            <w:r w:rsidRPr="00C06AAA">
              <w:rPr>
                <w:rFonts w:cs="Times New Roman"/>
                <w:sz w:val="22"/>
                <w:szCs w:val="22"/>
              </w:rPr>
              <w:t>Accepted</w:t>
            </w:r>
          </w:p>
        </w:tc>
      </w:tr>
      <w:tr w:rsidR="00E92E2F" w:rsidRPr="00C06AAA" w14:paraId="56F07475" w14:textId="77777777">
        <w:tc>
          <w:tcPr>
            <w:tcW w:w="80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5319DCBD" w14:textId="77777777" w:rsidR="00E92E2F" w:rsidRPr="00C06AAA" w:rsidRDefault="00000000" w:rsidP="00044ED7">
            <w:r w:rsidRPr="00C06AAA">
              <w:rPr>
                <w:rFonts w:cs="Times New Roman"/>
                <w:sz w:val="22"/>
                <w:szCs w:val="22"/>
              </w:rPr>
              <w:t>H4</w:t>
            </w:r>
          </w:p>
        </w:tc>
        <w:tc>
          <w:tcPr>
            <w:tcW w:w="425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223611FC" w14:textId="77777777" w:rsidR="00E92E2F" w:rsidRPr="00C06AAA" w:rsidRDefault="00000000" w:rsidP="00044ED7">
            <w:pPr>
              <w:jc w:val="center"/>
            </w:pPr>
            <w:r w:rsidRPr="00C06AAA">
              <w:rPr>
                <w:rFonts w:cs="Times New Roman"/>
                <w:sz w:val="22"/>
                <w:szCs w:val="22"/>
              </w:rPr>
              <w:t>Exp. group: Pre &lt; Mid &lt; Post</w:t>
            </w:r>
          </w:p>
        </w:tc>
        <w:tc>
          <w:tcPr>
            <w:tcW w:w="2050"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0F5CA36D" w14:textId="77777777" w:rsidR="00E92E2F" w:rsidRPr="00C06AAA" w:rsidRDefault="00000000" w:rsidP="00044ED7">
            <w:pPr>
              <w:jc w:val="center"/>
            </w:pPr>
            <w:r w:rsidRPr="00C06AAA">
              <w:rPr>
                <w:rFonts w:cs="Times New Roman"/>
                <w:sz w:val="22"/>
                <w:szCs w:val="22"/>
              </w:rPr>
              <w:t>η²p = .63–.93</w:t>
            </w:r>
          </w:p>
        </w:tc>
        <w:tc>
          <w:tcPr>
            <w:tcW w:w="2214" w:type="dxa"/>
            <w:tcBorders>
              <w:top w:val="none" w:sz="0" w:space="0" w:color="FFFFFF"/>
              <w:left w:val="none" w:sz="0" w:space="0" w:color="FFFFFF"/>
              <w:bottom w:val="single" w:sz="4" w:space="0" w:color="000000"/>
              <w:right w:val="none" w:sz="0" w:space="0" w:color="FFFFFF"/>
            </w:tcBorders>
            <w:tcMar>
              <w:top w:w="40" w:type="dxa"/>
              <w:left w:w="80" w:type="dxa"/>
              <w:bottom w:w="40" w:type="dxa"/>
              <w:right w:w="80" w:type="dxa"/>
            </w:tcMar>
            <w:vAlign w:val="center"/>
          </w:tcPr>
          <w:p w14:paraId="6FF64CE2" w14:textId="77777777" w:rsidR="00E92E2F" w:rsidRPr="00C06AAA" w:rsidRDefault="00000000" w:rsidP="00044ED7">
            <w:pPr>
              <w:jc w:val="center"/>
            </w:pPr>
            <w:r w:rsidRPr="00C06AAA">
              <w:rPr>
                <w:rFonts w:cs="Times New Roman"/>
                <w:sz w:val="22"/>
                <w:szCs w:val="22"/>
              </w:rPr>
              <w:t>Accepted</w:t>
            </w:r>
          </w:p>
        </w:tc>
      </w:tr>
    </w:tbl>
    <w:p w14:paraId="61B09E2B" w14:textId="77777777" w:rsidR="00E92E2F" w:rsidRPr="00C06AAA" w:rsidRDefault="00000000" w:rsidP="00044ED7">
      <w:pPr>
        <w:spacing w:before="40"/>
      </w:pPr>
      <w:r w:rsidRPr="00C06AAA">
        <w:rPr>
          <w:rFonts w:cs="Times New Roman"/>
          <w:i/>
          <w:iCs/>
          <w:sz w:val="22"/>
          <w:szCs w:val="22"/>
        </w:rPr>
        <w:t>Note. HRPF = health-related physical fitness. H1–H3 tested by the Group × Time interaction in a 2 × 3 mixed ANOVA; H4 by one-way repeated-measures ANOVA with Sidak post-hoc comparisons.</w:t>
      </w:r>
    </w:p>
    <w:p w14:paraId="4FB0C684" w14:textId="77777777" w:rsidR="00E92E2F" w:rsidRPr="00C06AAA" w:rsidRDefault="00000000" w:rsidP="00044ED7">
      <w:pPr>
        <w:keepNext/>
        <w:spacing w:before="160"/>
      </w:pPr>
      <w:r w:rsidRPr="00C06AAA">
        <w:rPr>
          <w:rFonts w:cs="Times New Roman"/>
          <w:b/>
          <w:bCs/>
        </w:rPr>
        <w:t>Conclusion and Discussion</w:t>
      </w:r>
    </w:p>
    <w:p w14:paraId="4BBC8933" w14:textId="1394DDA2" w:rsidR="00E92E2F" w:rsidRPr="00C06AAA" w:rsidRDefault="00000000" w:rsidP="00044ED7">
      <w:pPr>
        <w:spacing w:line="276" w:lineRule="auto"/>
        <w:ind w:firstLine="480"/>
        <w:jc w:val="both"/>
      </w:pPr>
      <w:r w:rsidRPr="00C06AAA">
        <w:rPr>
          <w:rFonts w:cs="Times New Roman"/>
        </w:rPr>
        <w:t>This study set out to develop a Badminton-Specific HIIT-Based PE approach and to test whether it could outperform conventional instruction in three learner domains at once. The results were consistent across outcomes: B-HIIT-PE produced significantly larger gains than conventional PE in badminton skill, in all five health-related fitness components, and in attitude toward exercise, and within the experimental group every variable improved steadily from pretest to midtest to posttest. Within the constraints of the design discussed below, these results suggest that the model can develop skill, fitness, and motivation together inside ordinary class time</w:t>
      </w:r>
      <w:r w:rsidR="00044ED7" w:rsidRPr="00C06AAA">
        <w:rPr>
          <w:rFonts w:cs="Times New Roman"/>
        </w:rPr>
        <w:t xml:space="preserve"> </w:t>
      </w:r>
      <w:r w:rsidRPr="00C06AAA">
        <w:rPr>
          <w:rFonts w:cs="Times New Roman"/>
        </w:rPr>
        <w:t>an outcome that short PE periods rarely achieve</w:t>
      </w:r>
      <w:r w:rsidR="00044ED7" w:rsidRPr="00C06AAA">
        <w:rPr>
          <w:rFonts w:cs="Times New Roman"/>
        </w:rPr>
        <w:t xml:space="preserve"> </w:t>
      </w:r>
      <w:r w:rsidRPr="00C06AAA">
        <w:rPr>
          <w:rFonts w:cs="Times New Roman"/>
        </w:rPr>
        <w:t>though the magnitude of the advantage should be interpreted with the caveats that follow.</w:t>
      </w:r>
    </w:p>
    <w:p w14:paraId="1AE83BCD" w14:textId="77777777" w:rsidR="00E92E2F" w:rsidRPr="00C06AAA" w:rsidRDefault="00000000" w:rsidP="00044ED7">
      <w:pPr>
        <w:spacing w:line="276" w:lineRule="auto"/>
        <w:ind w:firstLine="480"/>
        <w:jc w:val="both"/>
      </w:pPr>
      <w:r w:rsidRPr="00C06AAA">
        <w:rPr>
          <w:rFonts w:cs="Times New Roman"/>
        </w:rPr>
        <w:t xml:space="preserve">The skill findings (η²p = .53; posttest d = 1.92) align with Fernandez-Fernandez et al. (2022), whose randomized trial found sport-specific HIIT superior to repeated-sprint training for change-of-direction speed in youth racket-sport players, and with Wang et al. (2022), who reported gains in lower-limb muscle activation and jump power after on-court badminton interval training. The most plausible mechanism is the SAID principle: by pairing badminton-specific movement with a physiological stimulus, students develop their energy systems and motor patterns simultaneously. Practising strokes under controlled fatigue, in line with the principle of specificity in motor learning (Schmidt, Lee, Winstein, Wulf, &amp; Zelaznik, 2019), likely supports skill retention </w:t>
      </w:r>
      <w:r w:rsidRPr="00C06AAA">
        <w:rPr>
          <w:rFonts w:cs="Times New Roman"/>
        </w:rPr>
        <w:lastRenderedPageBreak/>
        <w:t>under realistic match conditions. It must be stressed, however, that the present design cannot isolate the contribution of sport-specificity, because the experimental condition differed from the control on both intensity and specificity at once; the skill advantage may therefore reflect greater on-task practice volume and arousal as much as the specific pairing of movement with physiological load.</w:t>
      </w:r>
    </w:p>
    <w:p w14:paraId="5A4AEBE2" w14:textId="77777777" w:rsidR="00E92E2F" w:rsidRPr="00C06AAA" w:rsidRDefault="00000000" w:rsidP="00044ED7">
      <w:pPr>
        <w:spacing w:line="276" w:lineRule="auto"/>
        <w:ind w:firstLine="480"/>
        <w:jc w:val="both"/>
      </w:pPr>
      <w:r w:rsidRPr="00C06AAA">
        <w:rPr>
          <w:rFonts w:cs="Times New Roman"/>
        </w:rPr>
        <w:t>The fitness gains echo the meta-analytic evidence that HIIT raises adolescents’ estimated cardiorespiratory fitness (Costigan et al., 2016; Engel et al., 2018). The cardiorespiratory effect here (d = 1.42) exceeded the standardized mean difference of 0.74 reported by Martin-Smith et al. (2020). This larger-than-meta-analytic effect is, however, most conservatively attributed to the substantial intensity gap between conditions evidenced in the fidelity data (84.10% vs 58.70% HRmax) rather than to sport-specificity per se, since the control group exercised well below the developmental zone. The smaller effects for flexibility (η²p = .33) and body composition (η²p = .15) are unsurprising, since these adaptations typically need longer than eight weeks; the body-composition result should also be read cautiously because BMI is only a crude proxy and the small change observed in normal-weight adolescents may be of limited clinical meaning. Both variables nonetheless moved in the desired direction, consistent with the long-term health value of youth cardiorespiratory fitness highlighted by García-Hermoso, Ramírez-Vélez, García-Alonso, Alonso-Martínez, and Izquierdo (2020).</w:t>
      </w:r>
    </w:p>
    <w:p w14:paraId="074810BA" w14:textId="77777777" w:rsidR="00E92E2F" w:rsidRPr="00C06AAA" w:rsidRDefault="00000000" w:rsidP="00044ED7">
      <w:pPr>
        <w:spacing w:line="276" w:lineRule="auto"/>
        <w:ind w:firstLine="480"/>
        <w:jc w:val="both"/>
      </w:pPr>
      <w:r w:rsidRPr="00C06AAA">
        <w:rPr>
          <w:rFonts w:cs="Times New Roman"/>
        </w:rPr>
        <w:t>The improvement in attitude (η²p = .43; d = 1.93) is best explained by Self-Determination Theory. The B-HIIT-PE design met the three basic psychological needs: autonomy, through choice of intensity within a set range; competence, through challenging-but-achievable tasks with immediate heart-rate and feeling-scale feedback; and relatedness, through paired drills and small-sided games. This pattern matches the meta-analysis of Vasconcellos et al. (2020) linking autonomy-supportive teaching to intrinsic motivation, and the evidence that positive lesson experiences predict longer-term exercise attitudes (Beltrán-Carrillo et al., 2023). Keeping intensity within an affectively tolerable zone appears to have prevented the negative-affect “HIIT burnout” that careless prescription can cause.</w:t>
      </w:r>
    </w:p>
    <w:p w14:paraId="72B657F4" w14:textId="6773F26C" w:rsidR="00E92E2F" w:rsidRPr="00C06AAA" w:rsidRDefault="00000000" w:rsidP="00044ED7">
      <w:pPr>
        <w:spacing w:line="276" w:lineRule="auto"/>
        <w:ind w:firstLine="480"/>
        <w:jc w:val="both"/>
      </w:pPr>
      <w:r w:rsidRPr="00C06AAA">
        <w:rPr>
          <w:rFonts w:cs="Times New Roman"/>
        </w:rPr>
        <w:t>Read together, these findings confirm the coherence of the three-level theoretical scaffold on which B-HIIT-PE was built. At the macro level, the Physical Literacy framework set a holistic developmental target; at the meso level, the Health-Optimizing PE model, Self-Determination Theory, and Long-Term Athlete Development shaped the curriculum; and at the micro level, the SAID principle and energy-system interplay governed the design of each lesson. That the program moved skill, fitness, and attitude in the same direction</w:t>
      </w:r>
      <w:r w:rsidR="00044ED7" w:rsidRPr="00C06AAA">
        <w:rPr>
          <w:rFonts w:cs="Times New Roman"/>
        </w:rPr>
        <w:t xml:space="preserve"> </w:t>
      </w:r>
      <w:r w:rsidRPr="00C06AAA">
        <w:rPr>
          <w:rFonts w:cs="Times New Roman"/>
        </w:rPr>
        <w:t>within ordinary class periods</w:t>
      </w:r>
      <w:r w:rsidR="00044ED7" w:rsidRPr="00C06AAA">
        <w:rPr>
          <w:rFonts w:cs="Times New Roman"/>
        </w:rPr>
        <w:t xml:space="preserve"> </w:t>
      </w:r>
      <w:r w:rsidRPr="00C06AAA">
        <w:rPr>
          <w:rFonts w:cs="Times New Roman"/>
        </w:rPr>
        <w:t>suggests the levels reinforced rather than competed with one another. This is precisely the integrated outcome that twenty-first-century PE frameworks call for (SHAPE America, 2019; Whitehead, 2019), and it indicates that a single, well-designed instructional model can pursue several curricular aims at once rather than trading one against another.</w:t>
      </w:r>
    </w:p>
    <w:p w14:paraId="5859282C" w14:textId="77777777" w:rsidR="00E92E2F" w:rsidRPr="00C06AAA" w:rsidRDefault="00000000" w:rsidP="00044ED7">
      <w:pPr>
        <w:spacing w:line="276" w:lineRule="auto"/>
        <w:ind w:firstLine="480"/>
        <w:jc w:val="both"/>
      </w:pPr>
      <w:r w:rsidRPr="00C06AAA">
        <w:rPr>
          <w:rFonts w:cs="Times New Roman"/>
        </w:rPr>
        <w:t xml:space="preserve">The magnitude of the effects (η²p up to .53 between groups and Cohen’s d up to 2.90 within the experimental group) is larger than is typical for eight-week school interventions and therefore calls for cautious interpretation. Three non-treatment influences may have inflated the observed advantage: a novelty effect, since B-HIIT-PE was unfamiliar and engaging compared with routine drills; an expectancy or Hawthorne effect, heightened because a single instructor delivered both conditions and was necessarily aware of group allocation (only the skill assessors were blinded); </w:t>
      </w:r>
      <w:r w:rsidRPr="00C06AAA">
        <w:rPr>
          <w:rFonts w:cs="Times New Roman"/>
        </w:rPr>
        <w:lastRenderedPageBreak/>
        <w:t>and the wide intensity gap between conditions. These influences do not negate the gains, but they caution against reading the effect sizes as the pure causal signature of the model.</w:t>
      </w:r>
    </w:p>
    <w:p w14:paraId="6F66F57A" w14:textId="31F8D7F3" w:rsidR="00E92E2F" w:rsidRPr="00C06AAA" w:rsidRDefault="00000000" w:rsidP="00044ED7">
      <w:pPr>
        <w:spacing w:line="276" w:lineRule="auto"/>
        <w:ind w:firstLine="480"/>
        <w:jc w:val="both"/>
      </w:pPr>
      <w:r w:rsidRPr="00C06AAA">
        <w:rPr>
          <w:rFonts w:cs="Times New Roman"/>
        </w:rPr>
        <w:t>Taken together, the study addresses the four gaps identified at the outset: it extends B-HIIT evidence from specialized athletes to general PE students; it demonstrates feasibility within authentic 50-minute lessons; it assesses skill, fitness, and attitude within one design; and it adds a mid-test that reveals the developmental trajectory rather than only an endpoint. Several limitations temper the conclusions. First and most important, the two-group design confounds exercise intensity with sport-specificity, so the data cannot establish that the badminton-specific element</w:t>
      </w:r>
      <w:r w:rsidR="00044ED7" w:rsidRPr="00C06AAA">
        <w:rPr>
          <w:rFonts w:cs="Times New Roman"/>
        </w:rPr>
        <w:t xml:space="preserve"> </w:t>
      </w:r>
      <w:r w:rsidRPr="00C06AAA">
        <w:rPr>
          <w:rFonts w:cs="Times New Roman"/>
        </w:rPr>
        <w:t>rather than the higher intensity alone</w:t>
      </w:r>
      <w:r w:rsidR="00044ED7" w:rsidRPr="00C06AAA">
        <w:rPr>
          <w:rFonts w:cs="Times New Roman"/>
        </w:rPr>
        <w:t xml:space="preserve"> </w:t>
      </w:r>
      <w:r w:rsidRPr="00C06AAA">
        <w:rPr>
          <w:rFonts w:cs="Times New Roman"/>
        </w:rPr>
        <w:t>drove the gains; a three-arm trial adding an intensity-matched non-specific HIIT group is needed to separate the two. In addition, the design was quasi-experimental with class-level allocation rather than individual randomization; the work was carried out in a single school, so generalization beyond it should be cautious; the eight-week window cannot speak to long-term retention; cardiorespiratory fitness was estimated from the PACER rather than directly measured, and body composition relied on BMI; the instructor was not blinded to allocation; attitude was self-reported and may carry social-desirability bias; and biological maturation was not estimated directly. We therefore conclude, cautiously, that B-HIIT-PE is a safe and feasible model that shows promising preliminary effects on badminton skill, estimated fitness, and exercise attitude in upper-secondary students, and that it merits confirmation in multi-site randomized trials with an intensity-matched comparator before strong practice or policy claims are made.</w:t>
      </w:r>
    </w:p>
    <w:p w14:paraId="5BE42CD3" w14:textId="77777777" w:rsidR="00E92E2F" w:rsidRPr="00C06AAA" w:rsidRDefault="00000000" w:rsidP="00044ED7">
      <w:pPr>
        <w:keepNext/>
      </w:pPr>
      <w:r w:rsidRPr="00C06AAA">
        <w:rPr>
          <w:rFonts w:cs="Times New Roman"/>
          <w:b/>
          <w:bCs/>
        </w:rPr>
        <w:t>Suggestions</w:t>
      </w:r>
    </w:p>
    <w:p w14:paraId="5B987CE2" w14:textId="77777777" w:rsidR="00E92E2F" w:rsidRPr="00C06AAA" w:rsidRDefault="00000000" w:rsidP="00044ED7">
      <w:pPr>
        <w:spacing w:line="276" w:lineRule="auto"/>
        <w:ind w:firstLine="480"/>
        <w:jc w:val="both"/>
      </w:pPr>
      <w:r w:rsidRPr="00C06AAA">
        <w:rPr>
          <w:rFonts w:cs="Times New Roman"/>
        </w:rPr>
        <w:t>Because the present evidence is preliminary, the following are offered as cautious, practice-informing suggestions rather than firm prescriptions. For practice, PE teachers may trial B-HIIT-PE in regular Grade 11 badminton lessons by introducing the rationale for interval training, then building from a 1:2 work-to-rest structure at 70–80% HRmax in the first two weeks before progressing to 80–90% HRmax. Where heart-rate monitors are unavailable, a 10-second × 6 pulse count is a workable substitute, and a brief rating of perceived exertion and feeling scale after each lesson helps keep the experience positive. School administrators can support this through teacher workshops and a minimum equipment set, while curriculum designers might integrate sport-specific HIIT into a models-based framework and extend it to other school sports such as volleyball, basketball, and futsal.</w:t>
      </w:r>
    </w:p>
    <w:p w14:paraId="03FBC8F7" w14:textId="77777777" w:rsidR="00E92E2F" w:rsidRPr="00C06AAA" w:rsidRDefault="00000000" w:rsidP="00044ED7">
      <w:pPr>
        <w:spacing w:line="276" w:lineRule="auto"/>
        <w:ind w:firstLine="480"/>
        <w:jc w:val="both"/>
        <w:rPr>
          <w:rFonts w:cs="Times New Roman"/>
        </w:rPr>
      </w:pPr>
      <w:r w:rsidRPr="00C06AAA">
        <w:rPr>
          <w:rFonts w:cs="Times New Roman"/>
        </w:rPr>
        <w:t>For future research, studies should test B-HIIT-PE across wider age ranges and special populations, extend the program to other sports, and lengthen the intervention to 16 weeks or more with 3-, 6-, and 12-month follow-ups to examine retention. Multi-site cluster-randomized trials would strengthen internal and external validity, mixed-methods designs would illuminate the mechanisms of change, and adding variables such as health literacy, leisure-time physical activity, sleep quality, and academic performance would clarify the broader impact. Finally, estimating biological maturity with the Mirwald or Khamis–Roche equation and using it as a moderator would show whether the model works equally well across maturation stages.</w:t>
      </w:r>
    </w:p>
    <w:p w14:paraId="49C86F20" w14:textId="77777777" w:rsidR="00044ED7" w:rsidRPr="00C06AAA" w:rsidRDefault="00044ED7" w:rsidP="00044ED7">
      <w:pPr>
        <w:pageBreakBefore/>
      </w:pPr>
      <w:r w:rsidRPr="00C06AAA">
        <w:rPr>
          <w:rFonts w:cs="Times New Roman"/>
          <w:b/>
          <w:bCs/>
        </w:rPr>
        <w:lastRenderedPageBreak/>
        <w:t>References</w:t>
      </w:r>
    </w:p>
    <w:p w14:paraId="295BFF49" w14:textId="77777777" w:rsidR="00044ED7" w:rsidRPr="00C06AAA" w:rsidRDefault="00044ED7" w:rsidP="00044ED7">
      <w:pPr>
        <w:spacing w:line="264" w:lineRule="auto"/>
        <w:ind w:left="480" w:hanging="480"/>
        <w:jc w:val="both"/>
      </w:pPr>
      <w:r w:rsidRPr="00C06AAA">
        <w:rPr>
          <w:rFonts w:cs="Times New Roman"/>
        </w:rPr>
        <w:t xml:space="preserve">Beltrán-Carrillo, V. J., Jiménez-Loaisa, A., González-Cutre, D., &amp; Cervelló, E. (2023). Adolescents’ subjective experiences in physical education: The role of motivation and basic psychological needs. </w:t>
      </w:r>
      <w:r w:rsidRPr="00C06AAA">
        <w:rPr>
          <w:rFonts w:cs="Times New Roman"/>
          <w:i/>
          <w:iCs/>
        </w:rPr>
        <w:t>European Physical Education Review, 29</w:t>
      </w:r>
      <w:r w:rsidRPr="00C06AAA">
        <w:rPr>
          <w:rFonts w:cs="Times New Roman"/>
        </w:rPr>
        <w:t>(1), 76–94.</w:t>
      </w:r>
    </w:p>
    <w:p w14:paraId="495D6A23" w14:textId="77777777" w:rsidR="00044ED7" w:rsidRPr="00C06AAA" w:rsidRDefault="00044ED7" w:rsidP="00044ED7">
      <w:pPr>
        <w:spacing w:line="264" w:lineRule="auto"/>
        <w:ind w:left="480" w:hanging="480"/>
        <w:jc w:val="both"/>
      </w:pPr>
      <w:r w:rsidRPr="00C06AAA">
        <w:rPr>
          <w:rFonts w:cs="Times New Roman"/>
        </w:rPr>
        <w:t xml:space="preserve">Bossi, A. H., Mesquida, C., Passfield, L., Rønnestad, B. R., &amp; Hopker, J. G. (2020). Optimizing interval training through power-output variation within the work intervals. </w:t>
      </w:r>
      <w:r w:rsidRPr="00C06AAA">
        <w:rPr>
          <w:rFonts w:cs="Times New Roman"/>
          <w:i/>
          <w:iCs/>
        </w:rPr>
        <w:t>International Journal of Sports Physiology and Performance, 15</w:t>
      </w:r>
      <w:r w:rsidRPr="00C06AAA">
        <w:rPr>
          <w:rFonts w:cs="Times New Roman"/>
        </w:rPr>
        <w:t>(7), 982–989.</w:t>
      </w:r>
    </w:p>
    <w:p w14:paraId="1FBD99A8" w14:textId="77777777" w:rsidR="00044ED7" w:rsidRPr="00C06AAA" w:rsidRDefault="00044ED7" w:rsidP="00044ED7">
      <w:pPr>
        <w:spacing w:line="264" w:lineRule="auto"/>
        <w:ind w:left="480" w:hanging="480"/>
        <w:jc w:val="both"/>
      </w:pPr>
      <w:r w:rsidRPr="00C06AAA">
        <w:rPr>
          <w:rFonts w:cs="Times New Roman"/>
        </w:rPr>
        <w:t xml:space="preserve">Brahim, M. B., Bougatfa, R., &amp; Chaouachi, A. (2023). Effects of specific small-sided games vs. high-intensity interval training on physical and technical performance in youth racket sports. </w:t>
      </w:r>
      <w:r w:rsidRPr="00C06AAA">
        <w:rPr>
          <w:rFonts w:cs="Times New Roman"/>
          <w:i/>
          <w:iCs/>
        </w:rPr>
        <w:t>Journal of Strength and Conditioning Research, 37</w:t>
      </w:r>
      <w:r w:rsidRPr="00C06AAA">
        <w:rPr>
          <w:rFonts w:cs="Times New Roman"/>
        </w:rPr>
        <w:t>(4), 850–858.</w:t>
      </w:r>
    </w:p>
    <w:p w14:paraId="47BC8CCF" w14:textId="77777777" w:rsidR="00044ED7" w:rsidRPr="00C06AAA" w:rsidRDefault="00044ED7" w:rsidP="00044ED7">
      <w:pPr>
        <w:spacing w:line="264" w:lineRule="auto"/>
        <w:ind w:left="480" w:hanging="480"/>
        <w:jc w:val="both"/>
      </w:pPr>
      <w:r w:rsidRPr="00C06AAA">
        <w:rPr>
          <w:rFonts w:cs="Times New Roman"/>
        </w:rPr>
        <w:t xml:space="preserve">Cabello-Manrique, D., Lorenzo-Martínez, M., Lorenzo, A., Padial, P., &amp; Puga, J. (2022). Biomechanical and physiological aspects of badminton: A comprehensive review. </w:t>
      </w:r>
      <w:r w:rsidRPr="00C06AAA">
        <w:rPr>
          <w:rFonts w:cs="Times New Roman"/>
          <w:i/>
          <w:iCs/>
        </w:rPr>
        <w:t>Journal of Sports Sciences, 40</w:t>
      </w:r>
      <w:r w:rsidRPr="00C06AAA">
        <w:rPr>
          <w:rFonts w:cs="Times New Roman"/>
        </w:rPr>
        <w:t>(8), 890–905.</w:t>
      </w:r>
    </w:p>
    <w:p w14:paraId="2772C5AE" w14:textId="77777777" w:rsidR="00044ED7" w:rsidRPr="00C06AAA" w:rsidRDefault="00044ED7" w:rsidP="00044ED7">
      <w:pPr>
        <w:spacing w:line="264" w:lineRule="auto"/>
        <w:ind w:left="480" w:hanging="480"/>
        <w:jc w:val="both"/>
      </w:pPr>
      <w:r w:rsidRPr="00C06AAA">
        <w:rPr>
          <w:rFonts w:cs="Times New Roman"/>
        </w:rPr>
        <w:t xml:space="preserve">Cohen, J. (1988). </w:t>
      </w:r>
      <w:r w:rsidRPr="00C06AAA">
        <w:rPr>
          <w:rFonts w:cs="Times New Roman"/>
          <w:i/>
          <w:iCs/>
        </w:rPr>
        <w:t>Statistical power analysis for the behavioral sciences</w:t>
      </w:r>
      <w:r w:rsidRPr="00C06AAA">
        <w:rPr>
          <w:rFonts w:cs="Times New Roman"/>
        </w:rPr>
        <w:t xml:space="preserve"> (2nd ed.). Lawrence Erlbaum Associates.</w:t>
      </w:r>
    </w:p>
    <w:p w14:paraId="79166DF0" w14:textId="77777777" w:rsidR="00044ED7" w:rsidRPr="00C06AAA" w:rsidRDefault="00044ED7" w:rsidP="00044ED7">
      <w:pPr>
        <w:spacing w:line="264" w:lineRule="auto"/>
        <w:ind w:left="480" w:hanging="480"/>
        <w:jc w:val="both"/>
      </w:pPr>
      <w:r w:rsidRPr="00C06AAA">
        <w:rPr>
          <w:rFonts w:cs="Times New Roman"/>
        </w:rPr>
        <w:t xml:space="preserve">Costigan, S. A., Eather, N., Plotnikoff, R. C., Taaffe, D. R., &amp; Lubans, D. R. (2016). High-intensity interval training for improving health-related fitness in adolescents: A systematic review and meta-analysis. </w:t>
      </w:r>
      <w:r w:rsidRPr="00C06AAA">
        <w:rPr>
          <w:rFonts w:cs="Times New Roman"/>
          <w:i/>
          <w:iCs/>
        </w:rPr>
        <w:t>British Journal of Sports Medicine, 49</w:t>
      </w:r>
      <w:r w:rsidRPr="00C06AAA">
        <w:rPr>
          <w:rFonts w:cs="Times New Roman"/>
        </w:rPr>
        <w:t>(19), 1253–1261.</w:t>
      </w:r>
    </w:p>
    <w:p w14:paraId="6C848632" w14:textId="77777777" w:rsidR="00044ED7" w:rsidRPr="00C06AAA" w:rsidRDefault="00044ED7" w:rsidP="00044ED7">
      <w:pPr>
        <w:spacing w:line="264" w:lineRule="auto"/>
        <w:ind w:left="480" w:hanging="480"/>
        <w:jc w:val="both"/>
      </w:pPr>
      <w:r w:rsidRPr="00C06AAA">
        <w:rPr>
          <w:rFonts w:cs="Times New Roman"/>
        </w:rPr>
        <w:t xml:space="preserve">Delgado-Floody, P., Latorre-Román, P. Á., Jerez-Mayorga, D., Caamaño-Navarrete, F., &amp; García-Pinillos, F. (2019). Feasibility of incorporating high-intensity interval training into physical education programs. </w:t>
      </w:r>
      <w:r w:rsidRPr="00C06AAA">
        <w:rPr>
          <w:rFonts w:cs="Times New Roman"/>
          <w:i/>
          <w:iCs/>
        </w:rPr>
        <w:t>Frontiers in Physiology, 10</w:t>
      </w:r>
      <w:r w:rsidRPr="00C06AAA">
        <w:rPr>
          <w:rFonts w:cs="Times New Roman"/>
        </w:rPr>
        <w:t>, 1426.</w:t>
      </w:r>
    </w:p>
    <w:p w14:paraId="331D2FAA" w14:textId="77777777" w:rsidR="00044ED7" w:rsidRPr="00C06AAA" w:rsidRDefault="00044ED7" w:rsidP="00044ED7">
      <w:pPr>
        <w:spacing w:line="264" w:lineRule="auto"/>
        <w:ind w:left="480" w:hanging="480"/>
        <w:jc w:val="both"/>
      </w:pPr>
      <w:r w:rsidRPr="00C06AAA">
        <w:rPr>
          <w:rFonts w:cs="Times New Roman"/>
        </w:rPr>
        <w:t xml:space="preserve">Department of Physical Education, Ministry of Tourism and Sports of Thailand. (2019). </w:t>
      </w:r>
      <w:r w:rsidRPr="00C06AAA">
        <w:rPr>
          <w:rFonts w:cs="Times New Roman"/>
          <w:i/>
          <w:iCs/>
        </w:rPr>
        <w:t>Manual for physical fitness testing and standards for Thai citizens aged 7–18 years</w:t>
      </w:r>
      <w:r w:rsidRPr="00C06AAA">
        <w:rPr>
          <w:rFonts w:cs="Times New Roman"/>
        </w:rPr>
        <w:t xml:space="preserve"> (Rev. ed.). Bureau of Sports Science. [TCI]</w:t>
      </w:r>
    </w:p>
    <w:p w14:paraId="01BA5E36" w14:textId="77777777" w:rsidR="00044ED7" w:rsidRPr="00C06AAA" w:rsidRDefault="00044ED7" w:rsidP="00044ED7">
      <w:pPr>
        <w:spacing w:line="264" w:lineRule="auto"/>
        <w:ind w:left="480" w:hanging="480"/>
        <w:jc w:val="both"/>
      </w:pPr>
      <w:r w:rsidRPr="00C06AAA">
        <w:rPr>
          <w:rFonts w:cs="Times New Roman"/>
        </w:rPr>
        <w:t xml:space="preserve">Eather, N., Riley, N., Miller, A., &amp; Smith, V. (2020). Efficacy and feasibility of HIIT training for university students. </w:t>
      </w:r>
      <w:r w:rsidRPr="00C06AAA">
        <w:rPr>
          <w:rFonts w:cs="Times New Roman"/>
          <w:i/>
          <w:iCs/>
        </w:rPr>
        <w:t>Journal of Sport and Health Science, 9</w:t>
      </w:r>
      <w:r w:rsidRPr="00C06AAA">
        <w:rPr>
          <w:rFonts w:cs="Times New Roman"/>
        </w:rPr>
        <w:t>(1), 76–91.</w:t>
      </w:r>
    </w:p>
    <w:p w14:paraId="65BCDBBD" w14:textId="77777777" w:rsidR="00044ED7" w:rsidRPr="00C06AAA" w:rsidRDefault="00044ED7" w:rsidP="00044ED7">
      <w:pPr>
        <w:spacing w:line="264" w:lineRule="auto"/>
        <w:ind w:left="480" w:hanging="480"/>
        <w:jc w:val="both"/>
      </w:pPr>
      <w:r w:rsidRPr="00C06AAA">
        <w:rPr>
          <w:rFonts w:cs="Times New Roman"/>
        </w:rPr>
        <w:t xml:space="preserve">Engel, F. A., Hartel, S., Strahler, J., Wegner, M., Westmattelmann, D., &amp; Schöllhorn, W. I. (2018). Hormonal, metabolic and psychophysiological responses to repeated rounds of high-intensity interval training in adolescents: A systematic review with meta-analysis. </w:t>
      </w:r>
      <w:r w:rsidRPr="00C06AAA">
        <w:rPr>
          <w:rFonts w:cs="Times New Roman"/>
          <w:i/>
          <w:iCs/>
        </w:rPr>
        <w:t>Sports Medicine, 48</w:t>
      </w:r>
      <w:r w:rsidRPr="00C06AAA">
        <w:rPr>
          <w:rFonts w:cs="Times New Roman"/>
        </w:rPr>
        <w:t>(11), 2587–2607.</w:t>
      </w:r>
    </w:p>
    <w:p w14:paraId="1946BC41" w14:textId="77777777" w:rsidR="00044ED7" w:rsidRPr="00C06AAA" w:rsidRDefault="00044ED7" w:rsidP="00044ED7">
      <w:pPr>
        <w:spacing w:line="264" w:lineRule="auto"/>
        <w:ind w:left="480" w:hanging="480"/>
        <w:jc w:val="both"/>
      </w:pPr>
      <w:r w:rsidRPr="00C06AAA">
        <w:rPr>
          <w:rFonts w:cs="Times New Roman"/>
        </w:rPr>
        <w:t xml:space="preserve">Fernandez-Fernandez, J., Zimek, R., Wiewelhove, T., &amp; Ferrauti, A. (2022). High-intensity interval training vs. repeated-sprint training in racket sports: A comparative study. </w:t>
      </w:r>
      <w:r w:rsidRPr="00C06AAA">
        <w:rPr>
          <w:rFonts w:cs="Times New Roman"/>
          <w:i/>
          <w:iCs/>
        </w:rPr>
        <w:t>Journal of Strength and Conditioning Research, 36</w:t>
      </w:r>
      <w:r w:rsidRPr="00C06AAA">
        <w:rPr>
          <w:rFonts w:cs="Times New Roman"/>
        </w:rPr>
        <w:t>(5), 1324–1331.</w:t>
      </w:r>
    </w:p>
    <w:p w14:paraId="49B0C4E2" w14:textId="77777777" w:rsidR="00044ED7" w:rsidRPr="00C06AAA" w:rsidRDefault="00044ED7" w:rsidP="00044ED7">
      <w:pPr>
        <w:spacing w:line="264" w:lineRule="auto"/>
        <w:ind w:left="480" w:hanging="480"/>
        <w:jc w:val="both"/>
      </w:pPr>
      <w:r w:rsidRPr="00C06AAA">
        <w:rPr>
          <w:rFonts w:cs="Times New Roman"/>
        </w:rPr>
        <w:t xml:space="preserve">García-Hermoso, A., Ramírez-Vélez, R., García-Alonso, Y., Alonso-Martínez, A. M., &amp; Izquierdo, M. (2020). Association of cardiorespiratory fitness levels during youth with health risk later in life: A systematic review and meta-analysis. </w:t>
      </w:r>
      <w:r w:rsidRPr="00C06AAA">
        <w:rPr>
          <w:rFonts w:cs="Times New Roman"/>
          <w:i/>
          <w:iCs/>
        </w:rPr>
        <w:t>JAMA Pediatrics, 174</w:t>
      </w:r>
      <w:r w:rsidRPr="00C06AAA">
        <w:rPr>
          <w:rFonts w:cs="Times New Roman"/>
        </w:rPr>
        <w:t>(10), 952–960.</w:t>
      </w:r>
    </w:p>
    <w:p w14:paraId="1D7DDF94" w14:textId="77777777" w:rsidR="00044ED7" w:rsidRPr="00C06AAA" w:rsidRDefault="00044ED7" w:rsidP="00044ED7">
      <w:pPr>
        <w:spacing w:line="264" w:lineRule="auto"/>
        <w:ind w:left="480" w:hanging="480"/>
        <w:jc w:val="both"/>
      </w:pPr>
      <w:r w:rsidRPr="00C06AAA">
        <w:rPr>
          <w:rFonts w:cs="Times New Roman"/>
        </w:rPr>
        <w:t xml:space="preserve">Guthold, R., Stevens, G. A., Riley, L. M., &amp; Bull, F. C. (2020). Global trends in insufficient physical activity among adolescents: A pooled analysis of 298 population-based surveys with 1.6 million participants. </w:t>
      </w:r>
      <w:r w:rsidRPr="00C06AAA">
        <w:rPr>
          <w:rFonts w:cs="Times New Roman"/>
          <w:i/>
          <w:iCs/>
        </w:rPr>
        <w:t>The Lancet Child &amp; Adolescent Health, 4</w:t>
      </w:r>
      <w:r w:rsidRPr="00C06AAA">
        <w:rPr>
          <w:rFonts w:cs="Times New Roman"/>
        </w:rPr>
        <w:t>(1), 23–35.</w:t>
      </w:r>
    </w:p>
    <w:p w14:paraId="00F70391" w14:textId="77777777" w:rsidR="00044ED7" w:rsidRPr="00C06AAA" w:rsidRDefault="00044ED7" w:rsidP="00044ED7">
      <w:pPr>
        <w:spacing w:line="264" w:lineRule="auto"/>
        <w:ind w:left="480" w:hanging="480"/>
        <w:jc w:val="both"/>
      </w:pPr>
      <w:r w:rsidRPr="00C06AAA">
        <w:rPr>
          <w:rFonts w:cs="Times New Roman"/>
        </w:rPr>
        <w:t xml:space="preserve">Koo, T. K., &amp; Li, M. Y. (2016). A guideline of selecting and reporting intraclass correlation coefficients for reliability research. </w:t>
      </w:r>
      <w:r w:rsidRPr="00C06AAA">
        <w:rPr>
          <w:rFonts w:cs="Times New Roman"/>
          <w:i/>
          <w:iCs/>
        </w:rPr>
        <w:t>Journal of Chiropractic Medicine, 15</w:t>
      </w:r>
      <w:r w:rsidRPr="00C06AAA">
        <w:rPr>
          <w:rFonts w:cs="Times New Roman"/>
        </w:rPr>
        <w:t>(2), 155–163.</w:t>
      </w:r>
    </w:p>
    <w:p w14:paraId="1F507A24" w14:textId="77777777" w:rsidR="00044ED7" w:rsidRPr="00C06AAA" w:rsidRDefault="00044ED7" w:rsidP="00044ED7">
      <w:pPr>
        <w:spacing w:line="264" w:lineRule="auto"/>
        <w:ind w:left="480" w:hanging="480"/>
        <w:jc w:val="both"/>
      </w:pPr>
      <w:r w:rsidRPr="00C06AAA">
        <w:rPr>
          <w:rFonts w:cs="Times New Roman"/>
        </w:rPr>
        <w:t xml:space="preserve">Lloyd, R. S., Oliver, J. L., Faigenbaum, A. D., Howard, R., De Ste Croix, M. B., Williams, C. A., … Myer, G. D. (2016). Long-term athletic development Part 1: A pathway for all youth. </w:t>
      </w:r>
      <w:r w:rsidRPr="00C06AAA">
        <w:rPr>
          <w:rFonts w:cs="Times New Roman"/>
          <w:i/>
          <w:iCs/>
        </w:rPr>
        <w:t>Journal of Strength and Conditioning Research, 30</w:t>
      </w:r>
      <w:r w:rsidRPr="00C06AAA">
        <w:rPr>
          <w:rFonts w:cs="Times New Roman"/>
        </w:rPr>
        <w:t>(5), 1439–1450.</w:t>
      </w:r>
    </w:p>
    <w:p w14:paraId="6D6A6DD9" w14:textId="77777777" w:rsidR="00044ED7" w:rsidRPr="00C06AAA" w:rsidRDefault="00044ED7" w:rsidP="00044ED7">
      <w:pPr>
        <w:spacing w:line="264" w:lineRule="auto"/>
        <w:ind w:left="480" w:hanging="480"/>
        <w:jc w:val="both"/>
      </w:pPr>
      <w:r w:rsidRPr="00C06AAA">
        <w:rPr>
          <w:rFonts w:cs="Times New Roman"/>
        </w:rPr>
        <w:lastRenderedPageBreak/>
        <w:t xml:space="preserve">Martin-Smith, R., Cox, A., Buchan, D. S., Baker, J. S., Grace, F., &amp; Sculthorpe, N. (2020). High-intensity interval training improves cardiorespiratory fitness in healthy, overweight and obese adolescents: A systematic review and meta-analysis. </w:t>
      </w:r>
      <w:r w:rsidRPr="00C06AAA">
        <w:rPr>
          <w:rFonts w:cs="Times New Roman"/>
          <w:i/>
          <w:iCs/>
        </w:rPr>
        <w:t>International Journal of Environmental Research and Public Health, 17</w:t>
      </w:r>
      <w:r w:rsidRPr="00C06AAA">
        <w:rPr>
          <w:rFonts w:cs="Times New Roman"/>
        </w:rPr>
        <w:t>(8), 2955.</w:t>
      </w:r>
    </w:p>
    <w:p w14:paraId="27052112" w14:textId="77777777" w:rsidR="00044ED7" w:rsidRPr="00C06AAA" w:rsidRDefault="00044ED7" w:rsidP="00044ED7">
      <w:pPr>
        <w:spacing w:line="264" w:lineRule="auto"/>
        <w:ind w:left="480" w:hanging="480"/>
        <w:jc w:val="both"/>
      </w:pPr>
      <w:r w:rsidRPr="00C06AAA">
        <w:rPr>
          <w:rFonts w:cs="Times New Roman"/>
        </w:rPr>
        <w:t xml:space="preserve">Mercier, K., Phillips, S., &amp; Silverman, S. (2016). High school students’ attitudes toward fitness testing. </w:t>
      </w:r>
      <w:r w:rsidRPr="00C06AAA">
        <w:rPr>
          <w:rFonts w:cs="Times New Roman"/>
          <w:i/>
          <w:iCs/>
        </w:rPr>
        <w:t>Journal of Teaching in Physical Education, 35</w:t>
      </w:r>
      <w:r w:rsidRPr="00C06AAA">
        <w:rPr>
          <w:rFonts w:cs="Times New Roman"/>
        </w:rPr>
        <w:t>(3), 270–279.</w:t>
      </w:r>
    </w:p>
    <w:p w14:paraId="0AD27BBF" w14:textId="77777777" w:rsidR="00044ED7" w:rsidRPr="00C06AAA" w:rsidRDefault="00044ED7" w:rsidP="00044ED7">
      <w:pPr>
        <w:spacing w:line="264" w:lineRule="auto"/>
        <w:ind w:left="480" w:hanging="480"/>
        <w:jc w:val="both"/>
      </w:pPr>
      <w:r w:rsidRPr="00C06AAA">
        <w:rPr>
          <w:rFonts w:cs="Times New Roman"/>
        </w:rPr>
        <w:t xml:space="preserve">Nunnally, J. C., &amp; Bernstein, I. H. (1994). </w:t>
      </w:r>
      <w:r w:rsidRPr="00C06AAA">
        <w:rPr>
          <w:rFonts w:cs="Times New Roman"/>
          <w:i/>
          <w:iCs/>
        </w:rPr>
        <w:t>Psychometric theory</w:t>
      </w:r>
      <w:r w:rsidRPr="00C06AAA">
        <w:rPr>
          <w:rFonts w:cs="Times New Roman"/>
        </w:rPr>
        <w:t xml:space="preserve"> (3rd ed.). McGraw-Hill.</w:t>
      </w:r>
    </w:p>
    <w:p w14:paraId="47E1F773" w14:textId="77777777" w:rsidR="00044ED7" w:rsidRPr="00C06AAA" w:rsidRDefault="00044ED7" w:rsidP="00044ED7">
      <w:pPr>
        <w:spacing w:line="264" w:lineRule="auto"/>
        <w:ind w:left="480" w:hanging="480"/>
        <w:jc w:val="both"/>
      </w:pPr>
      <w:r w:rsidRPr="00C06AAA">
        <w:rPr>
          <w:rFonts w:cs="Times New Roman"/>
        </w:rPr>
        <w:t xml:space="preserve">Phomsoupha, M., &amp; Laffaye, G. (2020). The science of badminton: Game characteristics, anthropometry, physiology, visual fitness and biomechanics. </w:t>
      </w:r>
      <w:r w:rsidRPr="00C06AAA">
        <w:rPr>
          <w:rFonts w:cs="Times New Roman"/>
          <w:i/>
          <w:iCs/>
        </w:rPr>
        <w:t>Sports Medicine, 50</w:t>
      </w:r>
      <w:r w:rsidRPr="00C06AAA">
        <w:rPr>
          <w:rFonts w:cs="Times New Roman"/>
        </w:rPr>
        <w:t>(4), 773–795.</w:t>
      </w:r>
    </w:p>
    <w:p w14:paraId="42DEBEEF" w14:textId="77777777" w:rsidR="00044ED7" w:rsidRPr="00C06AAA" w:rsidRDefault="00044ED7" w:rsidP="00044ED7">
      <w:pPr>
        <w:spacing w:line="264" w:lineRule="auto"/>
        <w:ind w:left="480" w:hanging="480"/>
        <w:jc w:val="both"/>
      </w:pPr>
      <w:r w:rsidRPr="00C06AAA">
        <w:rPr>
          <w:rFonts w:cs="Times New Roman"/>
        </w:rPr>
        <w:t xml:space="preserve">Schmidt, R. A., Lee, T. D., Winstein, C. J., Wulf, G., &amp; Zelaznik, H. N. (2019). </w:t>
      </w:r>
      <w:r w:rsidRPr="00C06AAA">
        <w:rPr>
          <w:rFonts w:cs="Times New Roman"/>
          <w:i/>
          <w:iCs/>
        </w:rPr>
        <w:t>Motor control and learning: A behavioral emphasis</w:t>
      </w:r>
      <w:r w:rsidRPr="00C06AAA">
        <w:rPr>
          <w:rFonts w:cs="Times New Roman"/>
        </w:rPr>
        <w:t xml:space="preserve"> (6th ed.). Human Kinetics.</w:t>
      </w:r>
    </w:p>
    <w:p w14:paraId="764FAD97" w14:textId="77777777" w:rsidR="00044ED7" w:rsidRPr="00C06AAA" w:rsidRDefault="00044ED7" w:rsidP="00044ED7">
      <w:pPr>
        <w:spacing w:line="264" w:lineRule="auto"/>
        <w:ind w:left="480" w:hanging="480"/>
        <w:jc w:val="both"/>
      </w:pPr>
      <w:r w:rsidRPr="00C06AAA">
        <w:rPr>
          <w:rFonts w:cs="Times New Roman"/>
        </w:rPr>
        <w:t xml:space="preserve">SHAPE America. (2019). </w:t>
      </w:r>
      <w:r w:rsidRPr="00C06AAA">
        <w:rPr>
          <w:rFonts w:cs="Times New Roman"/>
          <w:i/>
          <w:iCs/>
        </w:rPr>
        <w:t>Crosswalk for SHAPE America National Standards &amp; grade-level outcomes for K-12 physical education</w:t>
      </w:r>
      <w:r w:rsidRPr="00C06AAA">
        <w:rPr>
          <w:rFonts w:cs="Times New Roman"/>
        </w:rPr>
        <w:t>. Society of Health and Physical Educators.</w:t>
      </w:r>
    </w:p>
    <w:p w14:paraId="69C360BB" w14:textId="77777777" w:rsidR="00044ED7" w:rsidRPr="00C06AAA" w:rsidRDefault="00044ED7" w:rsidP="00044ED7">
      <w:pPr>
        <w:spacing w:line="264" w:lineRule="auto"/>
        <w:ind w:left="480" w:hanging="480"/>
        <w:jc w:val="both"/>
      </w:pPr>
      <w:r w:rsidRPr="00C06AAA">
        <w:rPr>
          <w:rFonts w:cs="Times New Roman"/>
        </w:rPr>
        <w:t xml:space="preserve">Vasconcellos, D., Parker, P. D., Hilland, T., Cinelli, R., Owen, K. B., Kapsal, N., … Lonsdale, C. (2020). Self-determination theory applied to physical education: A systematic review and meta-analysis. </w:t>
      </w:r>
      <w:r w:rsidRPr="00C06AAA">
        <w:rPr>
          <w:rFonts w:cs="Times New Roman"/>
          <w:i/>
          <w:iCs/>
        </w:rPr>
        <w:t>Journal of Educational Psychology, 112</w:t>
      </w:r>
      <w:r w:rsidRPr="00C06AAA">
        <w:rPr>
          <w:rFonts w:cs="Times New Roman"/>
        </w:rPr>
        <w:t>(7), 1444–1469.</w:t>
      </w:r>
    </w:p>
    <w:p w14:paraId="0762CEE9" w14:textId="77777777" w:rsidR="00044ED7" w:rsidRPr="00C06AAA" w:rsidRDefault="00044ED7" w:rsidP="00044ED7">
      <w:pPr>
        <w:spacing w:line="264" w:lineRule="auto"/>
        <w:ind w:left="480" w:hanging="480"/>
        <w:jc w:val="both"/>
      </w:pPr>
      <w:r w:rsidRPr="00C06AAA">
        <w:rPr>
          <w:rFonts w:cs="Times New Roman"/>
        </w:rPr>
        <w:t xml:space="preserve">Wang, L., Zhang, Y., &amp; Chen, Y. (2022). Neuromuscular and metabolic responses to on-court badminton interval training in youth players. </w:t>
      </w:r>
      <w:r w:rsidRPr="00C06AAA">
        <w:rPr>
          <w:rFonts w:cs="Times New Roman"/>
          <w:i/>
          <w:iCs/>
        </w:rPr>
        <w:t>Research Quarterly for Exercise and Sport, 93</w:t>
      </w:r>
      <w:r w:rsidRPr="00C06AAA">
        <w:rPr>
          <w:rFonts w:cs="Times New Roman"/>
        </w:rPr>
        <w:t>(3), 512–520.</w:t>
      </w:r>
    </w:p>
    <w:p w14:paraId="74A8867A" w14:textId="77777777" w:rsidR="00044ED7" w:rsidRPr="00C06AAA" w:rsidRDefault="00044ED7" w:rsidP="00044ED7">
      <w:pPr>
        <w:spacing w:line="264" w:lineRule="auto"/>
        <w:ind w:left="480" w:hanging="480"/>
        <w:jc w:val="both"/>
      </w:pPr>
      <w:r w:rsidRPr="00C06AAA">
        <w:rPr>
          <w:rFonts w:cs="Times New Roman"/>
        </w:rPr>
        <w:t xml:space="preserve">Whitehead, M. (Ed.). (2019). </w:t>
      </w:r>
      <w:r w:rsidRPr="00C06AAA">
        <w:rPr>
          <w:rFonts w:cs="Times New Roman"/>
          <w:i/>
          <w:iCs/>
        </w:rPr>
        <w:t>Physical literacy across the world</w:t>
      </w:r>
      <w:r w:rsidRPr="00C06AAA">
        <w:rPr>
          <w:rFonts w:cs="Times New Roman"/>
        </w:rPr>
        <w:t>. Routledge.</w:t>
      </w:r>
    </w:p>
    <w:p w14:paraId="003BDB41" w14:textId="77777777" w:rsidR="00044ED7" w:rsidRPr="00C06AAA" w:rsidRDefault="00044ED7" w:rsidP="00044ED7">
      <w:pPr>
        <w:spacing w:line="264" w:lineRule="auto"/>
        <w:ind w:left="480" w:hanging="480"/>
        <w:jc w:val="both"/>
      </w:pPr>
      <w:r w:rsidRPr="00C06AAA">
        <w:rPr>
          <w:rFonts w:cs="Times New Roman"/>
        </w:rPr>
        <w:t xml:space="preserve">World Health Organization. (2020). </w:t>
      </w:r>
      <w:r w:rsidRPr="00C06AAA">
        <w:rPr>
          <w:rFonts w:cs="Times New Roman"/>
          <w:i/>
          <w:iCs/>
        </w:rPr>
        <w:t>WHO guidelines on physical activity and sedentary behaviour</w:t>
      </w:r>
      <w:r w:rsidRPr="00C06AAA">
        <w:rPr>
          <w:rFonts w:cs="Times New Roman"/>
        </w:rPr>
        <w:t>. World Health Organization.</w:t>
      </w:r>
    </w:p>
    <w:p w14:paraId="1356F381" w14:textId="69ACC173" w:rsidR="00044ED7" w:rsidRDefault="00044ED7" w:rsidP="00044ED7">
      <w:pPr>
        <w:spacing w:line="264" w:lineRule="auto"/>
        <w:ind w:left="480" w:hanging="480"/>
        <w:jc w:val="both"/>
      </w:pPr>
      <w:r w:rsidRPr="00C06AAA">
        <w:rPr>
          <w:rFonts w:cs="Times New Roman"/>
        </w:rPr>
        <w:t xml:space="preserve">Zhang, Y., &amp; Chen, X. (2024). Effects of badminton-specific fatigue on kinematic characteristics and stroke accuracy in junior elite players . </w:t>
      </w:r>
      <w:r w:rsidRPr="00C06AAA">
        <w:rPr>
          <w:rFonts w:cs="Times New Roman"/>
          <w:i/>
          <w:iCs/>
        </w:rPr>
        <w:t>China Sport Science, 44</w:t>
      </w:r>
      <w:r w:rsidRPr="00C06AAA">
        <w:rPr>
          <w:rFonts w:cs="Times New Roman"/>
        </w:rPr>
        <w:t>(2), 88–97.</w:t>
      </w:r>
      <w:r>
        <w:rPr>
          <w:rFonts w:cs="Times New Roman"/>
        </w:rPr>
        <w:t xml:space="preserve"> </w:t>
      </w:r>
    </w:p>
    <w:p w14:paraId="57526A8A" w14:textId="77777777" w:rsidR="00044ED7" w:rsidRDefault="00044ED7" w:rsidP="00044ED7">
      <w:pPr>
        <w:spacing w:line="276" w:lineRule="auto"/>
        <w:ind w:firstLine="480"/>
        <w:jc w:val="both"/>
        <w:rPr>
          <w:rFonts w:cs="Times New Roman"/>
        </w:rPr>
      </w:pPr>
    </w:p>
    <w:p w14:paraId="6EC322BB" w14:textId="77777777" w:rsidR="00044ED7" w:rsidRDefault="00044ED7" w:rsidP="00044ED7">
      <w:pPr>
        <w:spacing w:line="276" w:lineRule="auto"/>
        <w:ind w:firstLine="480"/>
        <w:jc w:val="both"/>
        <w:rPr>
          <w:rFonts w:cs="Times New Roman"/>
        </w:rPr>
      </w:pPr>
    </w:p>
    <w:sectPr w:rsidR="00044ED7">
      <w:footerReference w:type="default" r:id="rId8"/>
      <w:pgSz w:w="11906" w:h="16838"/>
      <w:pgMar w:top="1728" w:right="1152" w:bottom="1152"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D258DE2" w14:textId="77777777" w:rsidR="005A5BB2" w:rsidRDefault="005A5BB2">
      <w:r>
        <w:separator/>
      </w:r>
    </w:p>
  </w:endnote>
  <w:endnote w:type="continuationSeparator" w:id="0">
    <w:p w14:paraId="32C6A5D6" w14:textId="77777777" w:rsidR="005A5BB2" w:rsidRDefault="005A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B4B587" w14:textId="77777777" w:rsidR="00E92E2F" w:rsidRDefault="00000000">
    <w:pPr>
      <w:jc w:val="center"/>
    </w:pPr>
    <w:r>
      <w:rPr>
        <w:rFonts w:cs="Times New Roman"/>
      </w:rPr>
      <w:fldChar w:fldCharType="begin"/>
    </w:r>
    <w:r>
      <w:rPr>
        <w:rFonts w:cs="Times New Roman"/>
      </w:rPr>
      <w:instrText>PAGE</w:instrText>
    </w:r>
    <w:r>
      <w:rPr>
        <w:rFonts w:cs="Times New Roman"/>
      </w:rPr>
      <w:fldChar w:fldCharType="separate"/>
    </w:r>
    <w:r w:rsidR="00464B74">
      <w:rPr>
        <w:rFonts w:cs="Times New Roman"/>
        <w:noProof/>
      </w:rPr>
      <w:t>1</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4B6ADA7" w14:textId="77777777" w:rsidR="005A5BB2" w:rsidRDefault="005A5BB2">
      <w:r>
        <w:separator/>
      </w:r>
    </w:p>
  </w:footnote>
  <w:footnote w:type="continuationSeparator" w:id="0">
    <w:p w14:paraId="31FAB4E5" w14:textId="77777777" w:rsidR="005A5BB2" w:rsidRDefault="005A5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2F02295"/>
    <w:multiLevelType w:val="hybridMultilevel"/>
    <w:tmpl w:val="C758F27A"/>
    <w:lvl w:ilvl="0" w:tplc="EA28AC82">
      <w:start w:val="1"/>
      <w:numFmt w:val="bullet"/>
      <w:lvlText w:val="●"/>
      <w:lvlJc w:val="left"/>
      <w:pPr>
        <w:ind w:left="720" w:hanging="360"/>
      </w:pPr>
    </w:lvl>
    <w:lvl w:ilvl="1" w:tplc="806C52C6">
      <w:start w:val="1"/>
      <w:numFmt w:val="bullet"/>
      <w:lvlText w:val="○"/>
      <w:lvlJc w:val="left"/>
      <w:pPr>
        <w:ind w:left="1440" w:hanging="360"/>
      </w:pPr>
    </w:lvl>
    <w:lvl w:ilvl="2" w:tplc="CFAEFE38">
      <w:start w:val="1"/>
      <w:numFmt w:val="bullet"/>
      <w:lvlText w:val="■"/>
      <w:lvlJc w:val="left"/>
      <w:pPr>
        <w:ind w:left="2160" w:hanging="360"/>
      </w:pPr>
    </w:lvl>
    <w:lvl w:ilvl="3" w:tplc="64B0433E">
      <w:start w:val="1"/>
      <w:numFmt w:val="bullet"/>
      <w:lvlText w:val="●"/>
      <w:lvlJc w:val="left"/>
      <w:pPr>
        <w:ind w:left="2880" w:hanging="360"/>
      </w:pPr>
    </w:lvl>
    <w:lvl w:ilvl="4" w:tplc="326E34B6">
      <w:start w:val="1"/>
      <w:numFmt w:val="bullet"/>
      <w:lvlText w:val="○"/>
      <w:lvlJc w:val="left"/>
      <w:pPr>
        <w:ind w:left="3600" w:hanging="360"/>
      </w:pPr>
    </w:lvl>
    <w:lvl w:ilvl="5" w:tplc="ACF0E436">
      <w:start w:val="1"/>
      <w:numFmt w:val="bullet"/>
      <w:lvlText w:val="■"/>
      <w:lvlJc w:val="left"/>
      <w:pPr>
        <w:ind w:left="4320" w:hanging="360"/>
      </w:pPr>
    </w:lvl>
    <w:lvl w:ilvl="6" w:tplc="8C38D720">
      <w:start w:val="1"/>
      <w:numFmt w:val="bullet"/>
      <w:lvlText w:val="●"/>
      <w:lvlJc w:val="left"/>
      <w:pPr>
        <w:ind w:left="5040" w:hanging="360"/>
      </w:pPr>
    </w:lvl>
    <w:lvl w:ilvl="7" w:tplc="A6689298">
      <w:start w:val="1"/>
      <w:numFmt w:val="bullet"/>
      <w:lvlText w:val="●"/>
      <w:lvlJc w:val="left"/>
      <w:pPr>
        <w:ind w:left="5760" w:hanging="360"/>
      </w:pPr>
    </w:lvl>
    <w:lvl w:ilvl="8" w:tplc="7EC23A7E">
      <w:start w:val="1"/>
      <w:numFmt w:val="bullet"/>
      <w:lvlText w:val="●"/>
      <w:lvlJc w:val="left"/>
      <w:pPr>
        <w:ind w:left="6480" w:hanging="360"/>
      </w:pPr>
    </w:lvl>
  </w:abstractNum>
  <w:num w:numId="1" w16cid:durableId="1038049805">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E2F"/>
    <w:rsid w:val="00044ED7"/>
    <w:rsid w:val="000E14FD"/>
    <w:rsid w:val="0018795F"/>
    <w:rsid w:val="00464B74"/>
    <w:rsid w:val="004B70F1"/>
    <w:rsid w:val="005A5BB2"/>
    <w:rsid w:val="00C06AAA"/>
    <w:rsid w:val="00C07C37"/>
    <w:rsid w:val="00D86A18"/>
    <w:rsid w:val="00E04CFE"/>
    <w:rsid w:val="00E8531D"/>
    <w:rsid w:val="00E92E2F"/>
    <w:rsid w:val="00EC7D59"/>
    <w:rsid w:val="00FF410E"/>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ecimalSymbol w:val="."/>
  <w:listSeparator w:val=","/>
  <w14:docId w14:val="7670A665"/>
  <w15:docId w15:val="{247AC2DB-9E5D-9748-B8EF-688029E9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sz w:val="24"/>
        <w:szCs w:val="24"/>
        <w:lang w:val="en-TH"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044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5618</Words>
  <Characters>32028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Bangkokthonburi University</dc:creator>
  <cp:lastModifiedBy>twisute tongde</cp:lastModifiedBy>
  <cp:revision>2</cp:revision>
  <dcterms:created xsi:type="dcterms:W3CDTF">2026-06-27T09:17:00Z</dcterms:created>
  <dcterms:modified xsi:type="dcterms:W3CDTF">2026-06-27T09:17:00Z</dcterms:modified>
</cp:coreProperties>
</file>