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00A" w:rsidRPr="009C400A" w:rsidRDefault="009C400A" w:rsidP="009C400A">
      <w:pPr>
        <w:spacing w:after="0" w:line="240" w:lineRule="auto"/>
        <w:jc w:val="center"/>
        <w:rPr>
          <w:rFonts w:ascii="Times New Roman" w:eastAsia="Calibri" w:hAnsi="Times New Roman" w:cs="Times New Roman"/>
          <w:b/>
          <w:bCs/>
          <w:sz w:val="28"/>
          <w:szCs w:val="28"/>
          <w:lang w:val="en-US"/>
        </w:rPr>
      </w:pPr>
      <w:bookmarkStart w:id="0" w:name="_Hlk17124572"/>
      <w:r w:rsidRPr="009C400A">
        <w:rPr>
          <w:rFonts w:ascii="Times New Roman" w:eastAsia="Calibri" w:hAnsi="Times New Roman" w:cs="Times New Roman"/>
          <w:b/>
          <w:bCs/>
          <w:sz w:val="28"/>
          <w:szCs w:val="28"/>
          <w:lang w:val="en-US"/>
        </w:rPr>
        <w:t xml:space="preserve">COMPARATIVE STUDY OF STRENGTH AND FLEXIBILITY BETWEEN PROTEIN SUPPLEMENT AND NON-PROTEIN SUPPLEMENT CONSUMERS OF GYM PRACTITIONERS </w:t>
      </w:r>
    </w:p>
    <w:p w:rsidR="009C400A" w:rsidRPr="009C400A" w:rsidRDefault="009C400A" w:rsidP="009C400A">
      <w:pPr>
        <w:spacing w:after="0" w:line="240" w:lineRule="auto"/>
        <w:jc w:val="center"/>
        <w:rPr>
          <w:rFonts w:ascii="Times New Roman" w:eastAsia="Times New Roman" w:hAnsi="Times New Roman" w:cs="Times New Roman"/>
          <w:b/>
          <w:bCs/>
          <w:sz w:val="24"/>
          <w:szCs w:val="24"/>
          <w:lang w:val="en-US" w:bidi="mr-IN"/>
        </w:rPr>
      </w:pPr>
    </w:p>
    <w:p w:rsidR="009C400A" w:rsidRPr="009C400A" w:rsidRDefault="009C400A" w:rsidP="009C400A">
      <w:pPr>
        <w:spacing w:after="0" w:line="240" w:lineRule="auto"/>
        <w:jc w:val="center"/>
        <w:rPr>
          <w:rFonts w:ascii="Times New Roman" w:eastAsia="Times New Roman" w:hAnsi="Times New Roman" w:cs="Times New Roman"/>
          <w:b/>
          <w:bCs/>
          <w:kern w:val="24"/>
          <w:sz w:val="26"/>
          <w:szCs w:val="26"/>
          <w:lang w:val="en-US" w:eastAsia="en-IN"/>
        </w:rPr>
      </w:pPr>
      <w:r w:rsidRPr="009C400A">
        <w:rPr>
          <w:rFonts w:ascii="Times New Roman" w:eastAsia="Times New Roman" w:hAnsi="Times New Roman" w:cs="Times New Roman"/>
          <w:b/>
          <w:bCs/>
          <w:kern w:val="24"/>
          <w:sz w:val="26"/>
          <w:szCs w:val="26"/>
          <w:lang w:val="en-US" w:eastAsia="en-IN"/>
        </w:rPr>
        <w:t xml:space="preserve">Dr. ANAGHA SUNIL CHIKTE </w:t>
      </w:r>
    </w:p>
    <w:p w:rsidR="009C400A" w:rsidRPr="009C400A" w:rsidRDefault="009C400A" w:rsidP="009C400A">
      <w:pPr>
        <w:spacing w:after="0" w:line="240" w:lineRule="auto"/>
        <w:jc w:val="center"/>
        <w:rPr>
          <w:rFonts w:ascii="Times New Roman" w:eastAsia="Calibri" w:hAnsi="Times New Roman" w:cs="Times New Roman"/>
          <w:lang w:val="en-US"/>
        </w:rPr>
      </w:pPr>
      <w:r w:rsidRPr="009C400A">
        <w:rPr>
          <w:rFonts w:ascii="Times New Roman" w:eastAsia="Calibri" w:hAnsi="Times New Roman" w:cs="Times New Roman"/>
          <w:lang w:val="en-US"/>
        </w:rPr>
        <w:t>Director of Physical Education and Sports</w:t>
      </w:r>
    </w:p>
    <w:p w:rsidR="009C400A" w:rsidRPr="009C400A" w:rsidRDefault="009C400A" w:rsidP="009C400A">
      <w:pPr>
        <w:spacing w:after="0" w:line="240" w:lineRule="auto"/>
        <w:jc w:val="center"/>
        <w:rPr>
          <w:rFonts w:ascii="Times New Roman" w:eastAsia="Calibri" w:hAnsi="Times New Roman" w:cs="Times New Roman"/>
          <w:lang w:val="en-US"/>
        </w:rPr>
      </w:pPr>
      <w:r w:rsidRPr="009C400A">
        <w:rPr>
          <w:rFonts w:ascii="Times New Roman" w:eastAsia="Calibri" w:hAnsi="Times New Roman" w:cs="Times New Roman"/>
          <w:lang w:val="en-US"/>
        </w:rPr>
        <w:t xml:space="preserve">Shri </w:t>
      </w:r>
      <w:proofErr w:type="spellStart"/>
      <w:r w:rsidRPr="009C400A">
        <w:rPr>
          <w:rFonts w:ascii="Times New Roman" w:eastAsia="Calibri" w:hAnsi="Times New Roman" w:cs="Times New Roman"/>
          <w:lang w:val="en-US"/>
        </w:rPr>
        <w:t>Siddhivinayak</w:t>
      </w:r>
      <w:proofErr w:type="spellEnd"/>
      <w:r w:rsidRPr="009C400A">
        <w:rPr>
          <w:rFonts w:ascii="Times New Roman" w:eastAsia="Calibri" w:hAnsi="Times New Roman" w:cs="Times New Roman"/>
          <w:lang w:val="en-US"/>
        </w:rPr>
        <w:t xml:space="preserve"> </w:t>
      </w:r>
      <w:proofErr w:type="spellStart"/>
      <w:r w:rsidRPr="009C400A">
        <w:rPr>
          <w:rFonts w:ascii="Times New Roman" w:eastAsia="Calibri" w:hAnsi="Times New Roman" w:cs="Times New Roman"/>
          <w:lang w:val="en-US"/>
        </w:rPr>
        <w:t>Mahila</w:t>
      </w:r>
      <w:proofErr w:type="spellEnd"/>
      <w:r w:rsidRPr="009C400A">
        <w:rPr>
          <w:rFonts w:ascii="Times New Roman" w:eastAsia="Calibri" w:hAnsi="Times New Roman" w:cs="Times New Roman"/>
          <w:lang w:val="en-US"/>
        </w:rPr>
        <w:t xml:space="preserve"> </w:t>
      </w:r>
      <w:proofErr w:type="spellStart"/>
      <w:r w:rsidRPr="009C400A">
        <w:rPr>
          <w:rFonts w:ascii="Times New Roman" w:eastAsia="Calibri" w:hAnsi="Times New Roman" w:cs="Times New Roman"/>
          <w:lang w:val="en-US"/>
        </w:rPr>
        <w:t>Mahavidyalay</w:t>
      </w:r>
      <w:proofErr w:type="spellEnd"/>
      <w:r w:rsidRPr="009C400A">
        <w:rPr>
          <w:rFonts w:ascii="Times New Roman" w:eastAsia="Calibri" w:hAnsi="Times New Roman" w:cs="Times New Roman"/>
          <w:lang w:val="en-US"/>
        </w:rPr>
        <w:t xml:space="preserve">, </w:t>
      </w:r>
      <w:proofErr w:type="spellStart"/>
      <w:r w:rsidRPr="009C400A">
        <w:rPr>
          <w:rFonts w:ascii="Times New Roman" w:eastAsia="Calibri" w:hAnsi="Times New Roman" w:cs="Times New Roman"/>
          <w:lang w:val="en-US"/>
        </w:rPr>
        <w:t>Karvenagar</w:t>
      </w:r>
      <w:proofErr w:type="spellEnd"/>
    </w:p>
    <w:p w:rsidR="009C400A" w:rsidRPr="009C400A" w:rsidRDefault="009C400A" w:rsidP="009C400A">
      <w:pPr>
        <w:spacing w:after="0" w:line="240" w:lineRule="auto"/>
        <w:jc w:val="center"/>
        <w:rPr>
          <w:rFonts w:ascii="Times New Roman" w:eastAsia="Calibri" w:hAnsi="Times New Roman" w:cs="Times New Roman"/>
          <w:lang w:val="en-US"/>
        </w:rPr>
      </w:pPr>
      <w:r w:rsidRPr="009C400A">
        <w:rPr>
          <w:rFonts w:ascii="Times New Roman" w:eastAsia="Calibri" w:hAnsi="Times New Roman" w:cs="Times New Roman"/>
          <w:lang w:val="en-US"/>
        </w:rPr>
        <w:t>Pune- 411052, Maharashtra State (India)</w:t>
      </w:r>
    </w:p>
    <w:p w:rsidR="009C400A" w:rsidRPr="009C400A" w:rsidRDefault="009C400A" w:rsidP="009C400A">
      <w:pPr>
        <w:spacing w:after="0" w:line="240" w:lineRule="auto"/>
        <w:jc w:val="center"/>
        <w:rPr>
          <w:rFonts w:ascii="Times New Roman" w:eastAsia="Calibri" w:hAnsi="Times New Roman" w:cs="Times New Roman"/>
          <w:sz w:val="24"/>
          <w:szCs w:val="24"/>
          <w:lang w:val="en-US"/>
        </w:rPr>
      </w:pPr>
      <w:r w:rsidRPr="009C400A">
        <w:rPr>
          <w:rFonts w:ascii="Times New Roman" w:eastAsia="Calibri" w:hAnsi="Times New Roman" w:cs="Times New Roman"/>
          <w:lang w:val="en-US"/>
        </w:rPr>
        <w:t>Email Id- anaghaschikte@yahoo.co.in</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Abstract:</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 xml:space="preserve">The purpose of this investigation was to compare the strength and flexibility between protein supplement and non-protein supplement consumers of gym practitioners. Forty </w:t>
      </w:r>
      <w:proofErr w:type="gramStart"/>
      <w:r w:rsidRPr="009C400A">
        <w:rPr>
          <w:rFonts w:ascii="Times New Roman" w:eastAsia="Calibri" w:hAnsi="Times New Roman" w:cs="Times New Roman"/>
          <w:sz w:val="24"/>
          <w:szCs w:val="24"/>
          <w:lang w:val="en-US"/>
        </w:rPr>
        <w:t>boys</w:t>
      </w:r>
      <w:proofErr w:type="gramEnd"/>
      <w:r w:rsidRPr="009C400A">
        <w:rPr>
          <w:rFonts w:ascii="Times New Roman" w:eastAsia="Calibri" w:hAnsi="Times New Roman" w:cs="Times New Roman"/>
          <w:sz w:val="24"/>
          <w:szCs w:val="24"/>
          <w:lang w:val="en-US"/>
        </w:rPr>
        <w:t xml:space="preserve"> students (N = 40) were randomly selected from Pune District of Maharashtra state as subjects and were between 18 and 22 years of age. Subjects were selected using the simple random sampling method of these forty subjects, twenty (N = 20) were from protein supplement consumers and the remaining twenty (N = 20) were from non-protein supplement consumers of gym practitioners. </w:t>
      </w:r>
      <w:r w:rsidRPr="009C400A">
        <w:rPr>
          <w:rFonts w:ascii="Times New Roman" w:eastAsia="Calibri" w:hAnsi="Times New Roman" w:cs="Times New Roman"/>
          <w:sz w:val="24"/>
          <w:szCs w:val="24"/>
          <w:lang w:val="en-US" w:bidi="as-IN"/>
        </w:rPr>
        <w:t xml:space="preserve">The </w:t>
      </w:r>
      <w:r w:rsidRPr="009C400A">
        <w:rPr>
          <w:rFonts w:ascii="Times New Roman" w:eastAsia="Calibri" w:hAnsi="Times New Roman" w:cs="Times New Roman"/>
          <w:sz w:val="24"/>
          <w:szCs w:val="24"/>
          <w:lang w:val="en-US"/>
        </w:rPr>
        <w:t>strength and flexibility</w:t>
      </w:r>
      <w:r w:rsidRPr="009C400A">
        <w:rPr>
          <w:rFonts w:ascii="Times New Roman" w:eastAsia="Calibri" w:hAnsi="Times New Roman" w:cs="Times New Roman"/>
          <w:sz w:val="24"/>
          <w:szCs w:val="24"/>
          <w:lang w:val="en-US" w:bidi="as-IN"/>
        </w:rPr>
        <w:t xml:space="preserve"> was measured by applying pull ups and sit and reach test. </w:t>
      </w:r>
      <w:r w:rsidRPr="009C400A">
        <w:rPr>
          <w:rFonts w:ascii="Times New Roman" w:eastAsia="Calibri" w:hAnsi="Times New Roman" w:cs="Times New Roman"/>
          <w:sz w:val="24"/>
          <w:szCs w:val="24"/>
          <w:lang w:val="en-US"/>
        </w:rPr>
        <w:t xml:space="preserve">Data were collected from subjects using standard tests and analyzes and interpreted based on specialized statistical techniques. Mean, standard deviation and 't' test. The level of significance was kept 0.05 for testing the hypothesis. Results: There was significant difference between protein supplement and non-protein supplement consumers in strength and flexibility. Protein supplements consumers have comparatively more strength than non-protein supplement consumers. But non-protein supplements consumers have comparatively more flexibility than protein supplement consumers.  </w:t>
      </w:r>
    </w:p>
    <w:p w:rsidR="009C400A" w:rsidRPr="009C400A" w:rsidRDefault="009C400A" w:rsidP="009C400A">
      <w:pPr>
        <w:spacing w:after="0" w:line="276" w:lineRule="auto"/>
        <w:jc w:val="both"/>
        <w:rPr>
          <w:rFonts w:ascii="Times New Roman" w:eastAsia="Calibri" w:hAnsi="Times New Roman" w:cs="Times New Roman"/>
          <w:sz w:val="24"/>
          <w:szCs w:val="24"/>
          <w:lang w:val="en-US"/>
        </w:rPr>
      </w:pPr>
      <w:r w:rsidRPr="009C400A">
        <w:rPr>
          <w:rFonts w:ascii="Times New Roman" w:eastAsia="Calibri" w:hAnsi="Times New Roman" w:cs="Times New Roman"/>
          <w:b/>
          <w:bCs/>
          <w:sz w:val="24"/>
          <w:szCs w:val="24"/>
          <w:lang w:val="en-US"/>
        </w:rPr>
        <w:t xml:space="preserve">Keywords: </w:t>
      </w:r>
      <w:r w:rsidRPr="009C400A">
        <w:rPr>
          <w:rFonts w:ascii="Times New Roman" w:eastAsia="Calibri" w:hAnsi="Times New Roman" w:cs="Times New Roman"/>
          <w:sz w:val="24"/>
          <w:szCs w:val="24"/>
          <w:lang w:val="en-US"/>
        </w:rPr>
        <w:t>strength, flexibility, protein supplement and non-protein supplement consumers</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Introduction:</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It is very important to be health conscious for which people exercise. These people need more protein than they can get with protein powder. The muscle mass of the body naturally decreases with age. However, by consuming some nutritious foods, this process can be slowed or stopped. Regular intake of high protein foods keeps your body strong and maintains your muscle mass. For this you can consume high quality protein powder. Consuming adequate amounts of protein greatly improves muscle size and strength in adults. Along with muscle development, protein powders can also repair damaged muscles and tissues. Athletes use protein powder to get relief from muscle aches after exercise. Several studies suggest that consuming protein powder after exercise helps reduce muscle damage, improve muscle performance and muscle protein synthesis. In this way, protein powder can be very beneficial for you too.</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Methodology:</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 xml:space="preserve">Forty </w:t>
      </w:r>
      <w:proofErr w:type="gramStart"/>
      <w:r w:rsidRPr="009C400A">
        <w:rPr>
          <w:rFonts w:ascii="Times New Roman" w:eastAsia="Calibri" w:hAnsi="Times New Roman" w:cs="Times New Roman"/>
          <w:sz w:val="24"/>
          <w:szCs w:val="24"/>
          <w:lang w:val="en-US"/>
        </w:rPr>
        <w:t>boys</w:t>
      </w:r>
      <w:proofErr w:type="gramEnd"/>
      <w:r w:rsidRPr="009C400A">
        <w:rPr>
          <w:rFonts w:ascii="Times New Roman" w:eastAsia="Calibri" w:hAnsi="Times New Roman" w:cs="Times New Roman"/>
          <w:sz w:val="24"/>
          <w:szCs w:val="24"/>
          <w:lang w:val="en-US"/>
        </w:rPr>
        <w:t xml:space="preserve"> students (N = 40) were randomly selected as subjects and were between 18 and 22 years of age. Subjects were selected using the simple random sampling method of these forty subjects, twenty (N = 20) were from protein supplement consumers and the remaining twenty (N = 20) were from non-protein supplement consumers of gym practitioners. </w:t>
      </w:r>
      <w:r w:rsidRPr="009C400A">
        <w:rPr>
          <w:rFonts w:ascii="Times New Roman" w:eastAsia="Calibri" w:hAnsi="Times New Roman" w:cs="Times New Roman"/>
          <w:sz w:val="24"/>
          <w:szCs w:val="24"/>
          <w:lang w:val="en-US" w:bidi="as-IN"/>
        </w:rPr>
        <w:t xml:space="preserve">The </w:t>
      </w:r>
      <w:r w:rsidRPr="009C400A">
        <w:rPr>
          <w:rFonts w:ascii="Times New Roman" w:eastAsia="Calibri" w:hAnsi="Times New Roman" w:cs="Times New Roman"/>
          <w:sz w:val="24"/>
          <w:szCs w:val="24"/>
          <w:lang w:val="en-US"/>
        </w:rPr>
        <w:t>strength and flexibility</w:t>
      </w:r>
      <w:r w:rsidRPr="009C400A">
        <w:rPr>
          <w:rFonts w:ascii="Times New Roman" w:eastAsia="Calibri" w:hAnsi="Times New Roman" w:cs="Times New Roman"/>
          <w:sz w:val="24"/>
          <w:szCs w:val="24"/>
          <w:lang w:val="en-US" w:bidi="as-IN"/>
        </w:rPr>
        <w:t xml:space="preserve"> was measured by applying pull ups and sit and reach test.</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lastRenderedPageBreak/>
        <w:t>Analysis of data:</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Data were collected from subjects using standard tests and analyzes and interpreted based on specialized statistical techniques. Mean, standard deviation and 't' test. The level of significance was kept 0.05 for testing the hypothesis.</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 xml:space="preserve">Table-1: </w:t>
      </w:r>
      <w:r w:rsidRPr="009C400A">
        <w:rPr>
          <w:rFonts w:ascii="Times New Roman" w:eastAsia="Calibri" w:hAnsi="Times New Roman" w:cs="Times New Roman"/>
          <w:sz w:val="24"/>
          <w:szCs w:val="24"/>
          <w:lang w:val="en-US"/>
        </w:rPr>
        <w:t>Mean and t-ratio of strength for protein supplement and non-protein supplement consumers of gym practitioners</w:t>
      </w:r>
    </w:p>
    <w:tbl>
      <w:tblPr>
        <w:tblW w:w="8640" w:type="dxa"/>
        <w:jc w:val="center"/>
        <w:tblLook w:val="04A0" w:firstRow="1" w:lastRow="0" w:firstColumn="1" w:lastColumn="0" w:noHBand="0" w:noVBand="1"/>
      </w:tblPr>
      <w:tblGrid>
        <w:gridCol w:w="1248"/>
        <w:gridCol w:w="677"/>
        <w:gridCol w:w="1249"/>
        <w:gridCol w:w="911"/>
        <w:gridCol w:w="911"/>
        <w:gridCol w:w="911"/>
        <w:gridCol w:w="911"/>
        <w:gridCol w:w="911"/>
        <w:gridCol w:w="911"/>
      </w:tblGrid>
      <w:tr w:rsidR="009C400A" w:rsidRPr="009C400A" w:rsidTr="00604185">
        <w:trPr>
          <w:trHeight w:val="576"/>
          <w:jc w:val="center"/>
        </w:trPr>
        <w:tc>
          <w:tcPr>
            <w:tcW w:w="1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Group</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N</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Mean</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SD</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SE</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MD</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proofErr w:type="spellStart"/>
            <w:r w:rsidRPr="009C400A">
              <w:rPr>
                <w:rFonts w:ascii="Times New Roman" w:eastAsia="Times New Roman" w:hAnsi="Times New Roman" w:cs="Times New Roman"/>
                <w:b/>
                <w:bCs/>
                <w:color w:val="000000"/>
                <w:sz w:val="24"/>
                <w:szCs w:val="24"/>
                <w:lang w:val="en-US" w:bidi="as-IN"/>
              </w:rPr>
              <w:t>Ot</w:t>
            </w:r>
            <w:proofErr w:type="spellEnd"/>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proofErr w:type="spellStart"/>
            <w:r w:rsidRPr="009C400A">
              <w:rPr>
                <w:rFonts w:ascii="Times New Roman" w:eastAsia="Times New Roman" w:hAnsi="Times New Roman" w:cs="Times New Roman"/>
                <w:b/>
                <w:bCs/>
                <w:color w:val="000000"/>
                <w:sz w:val="24"/>
                <w:szCs w:val="24"/>
                <w:lang w:val="en-US" w:bidi="as-IN"/>
              </w:rPr>
              <w:t>df</w:t>
            </w:r>
            <w:proofErr w:type="spellEnd"/>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Tt</w:t>
            </w:r>
          </w:p>
        </w:tc>
      </w:tr>
      <w:tr w:rsidR="009C400A" w:rsidRPr="009C400A" w:rsidTr="00604185">
        <w:trPr>
          <w:trHeight w:val="576"/>
          <w:jc w:val="center"/>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PSC</w:t>
            </w:r>
          </w:p>
        </w:tc>
        <w:tc>
          <w:tcPr>
            <w:tcW w:w="677"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w:t>
            </w:r>
          </w:p>
        </w:tc>
        <w:tc>
          <w:tcPr>
            <w:tcW w:w="1249"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21.90</w:t>
            </w:r>
          </w:p>
        </w:tc>
        <w:tc>
          <w:tcPr>
            <w:tcW w:w="911"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5.17</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1.34</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3.05</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2.28*</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38</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2.02</w:t>
            </w:r>
          </w:p>
        </w:tc>
      </w:tr>
      <w:tr w:rsidR="009C400A" w:rsidRPr="009C400A" w:rsidTr="00604185">
        <w:trPr>
          <w:trHeight w:val="576"/>
          <w:jc w:val="center"/>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NPSC</w:t>
            </w:r>
          </w:p>
        </w:tc>
        <w:tc>
          <w:tcPr>
            <w:tcW w:w="677"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w:t>
            </w:r>
          </w:p>
        </w:tc>
        <w:tc>
          <w:tcPr>
            <w:tcW w:w="1249"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18.85</w:t>
            </w:r>
          </w:p>
        </w:tc>
        <w:tc>
          <w:tcPr>
            <w:tcW w:w="911"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3.00</w:t>
            </w: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76" w:lineRule="auto"/>
              <w:jc w:val="both"/>
              <w:rPr>
                <w:rFonts w:ascii="Times New Roman" w:eastAsia="Times New Roman" w:hAnsi="Times New Roman" w:cs="Times New Roman"/>
                <w:color w:val="000000"/>
                <w:sz w:val="24"/>
                <w:szCs w:val="24"/>
                <w:lang w:val="en-US" w:bidi="as-IN"/>
              </w:rPr>
            </w:pPr>
          </w:p>
        </w:tc>
      </w:tr>
    </w:tbl>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**PSC=protein supplement and NPSC=non-protein supplement consumers</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Table-1 indicates that that the obtained ‘t’ value of 2.28 between protein supplement and non-protein supplement consumers in strength was found to be significant at 0.05 level of confidence as we obtained value of 2.02 with 38 degree of freedom.</w:t>
      </w:r>
    </w:p>
    <w:p w:rsidR="009C400A" w:rsidRPr="009C400A" w:rsidRDefault="009C400A" w:rsidP="009C400A">
      <w:pPr>
        <w:spacing w:after="0" w:line="276" w:lineRule="auto"/>
        <w:jc w:val="center"/>
        <w:rPr>
          <w:rFonts w:ascii="Times New Roman" w:eastAsia="Calibri" w:hAnsi="Times New Roman" w:cs="Times New Roman"/>
          <w:sz w:val="24"/>
          <w:szCs w:val="24"/>
          <w:lang w:val="en-US"/>
        </w:rPr>
      </w:pPr>
      <w:r w:rsidRPr="009C400A">
        <w:rPr>
          <w:rFonts w:ascii="Times New Roman" w:eastAsia="Calibri" w:hAnsi="Times New Roman" w:cs="Times New Roman"/>
          <w:noProof/>
          <w:sz w:val="24"/>
          <w:szCs w:val="24"/>
          <w:lang w:eastAsia="en-IN"/>
        </w:rPr>
        <w:drawing>
          <wp:inline distT="0" distB="0" distL="0" distR="0" wp14:anchorId="3C0D73DD" wp14:editId="6B22B096">
            <wp:extent cx="2461260" cy="1069975"/>
            <wp:effectExtent l="0" t="0" r="15240" b="1587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C400A" w:rsidRPr="009C400A" w:rsidRDefault="009C400A" w:rsidP="009C400A">
      <w:pPr>
        <w:spacing w:after="0" w:line="276" w:lineRule="auto"/>
        <w:jc w:val="center"/>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Graph-1: The graph showing the mean value of strength</w:t>
      </w:r>
    </w:p>
    <w:p w:rsidR="009C400A" w:rsidRPr="009C400A" w:rsidRDefault="009C400A" w:rsidP="009C400A">
      <w:pPr>
        <w:spacing w:after="0" w:line="276" w:lineRule="auto"/>
        <w:jc w:val="both"/>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 xml:space="preserve">Table-2: </w:t>
      </w:r>
      <w:r w:rsidRPr="009C400A">
        <w:rPr>
          <w:rFonts w:ascii="Times New Roman" w:eastAsia="Calibri" w:hAnsi="Times New Roman" w:cs="Times New Roman"/>
          <w:sz w:val="24"/>
          <w:szCs w:val="24"/>
          <w:lang w:val="en-US"/>
        </w:rPr>
        <w:t>Mean and t-ratio of flexibility for protein supplement and non-protein supplement consumers of gym practitioners</w:t>
      </w:r>
    </w:p>
    <w:tbl>
      <w:tblPr>
        <w:tblW w:w="8640" w:type="dxa"/>
        <w:jc w:val="center"/>
        <w:tblLook w:val="04A0" w:firstRow="1" w:lastRow="0" w:firstColumn="1" w:lastColumn="0" w:noHBand="0" w:noVBand="1"/>
      </w:tblPr>
      <w:tblGrid>
        <w:gridCol w:w="1248"/>
        <w:gridCol w:w="677"/>
        <w:gridCol w:w="1249"/>
        <w:gridCol w:w="911"/>
        <w:gridCol w:w="911"/>
        <w:gridCol w:w="911"/>
        <w:gridCol w:w="911"/>
        <w:gridCol w:w="911"/>
        <w:gridCol w:w="911"/>
      </w:tblGrid>
      <w:tr w:rsidR="009C400A" w:rsidRPr="009C400A" w:rsidTr="00604185">
        <w:trPr>
          <w:trHeight w:val="576"/>
          <w:jc w:val="center"/>
        </w:trPr>
        <w:tc>
          <w:tcPr>
            <w:tcW w:w="1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Group</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N</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Mean</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SD</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SE</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MD</w:t>
            </w:r>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proofErr w:type="spellStart"/>
            <w:r w:rsidRPr="009C400A">
              <w:rPr>
                <w:rFonts w:ascii="Times New Roman" w:eastAsia="Times New Roman" w:hAnsi="Times New Roman" w:cs="Times New Roman"/>
                <w:b/>
                <w:bCs/>
                <w:color w:val="000000"/>
                <w:sz w:val="24"/>
                <w:szCs w:val="24"/>
                <w:lang w:val="en-US" w:bidi="as-IN"/>
              </w:rPr>
              <w:t>Ot</w:t>
            </w:r>
            <w:proofErr w:type="spellEnd"/>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proofErr w:type="spellStart"/>
            <w:r w:rsidRPr="009C400A">
              <w:rPr>
                <w:rFonts w:ascii="Times New Roman" w:eastAsia="Times New Roman" w:hAnsi="Times New Roman" w:cs="Times New Roman"/>
                <w:b/>
                <w:bCs/>
                <w:color w:val="000000"/>
                <w:sz w:val="24"/>
                <w:szCs w:val="24"/>
                <w:lang w:val="en-US" w:bidi="as-IN"/>
              </w:rPr>
              <w:t>df</w:t>
            </w:r>
            <w:proofErr w:type="spellEnd"/>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b/>
                <w:bCs/>
                <w:color w:val="000000"/>
                <w:sz w:val="24"/>
                <w:szCs w:val="24"/>
                <w:lang w:val="en-US" w:bidi="as-IN"/>
              </w:rPr>
            </w:pPr>
            <w:r w:rsidRPr="009C400A">
              <w:rPr>
                <w:rFonts w:ascii="Times New Roman" w:eastAsia="Times New Roman" w:hAnsi="Times New Roman" w:cs="Times New Roman"/>
                <w:b/>
                <w:bCs/>
                <w:color w:val="000000"/>
                <w:sz w:val="24"/>
                <w:szCs w:val="24"/>
                <w:lang w:val="en-US" w:bidi="as-IN"/>
              </w:rPr>
              <w:t>Tt</w:t>
            </w:r>
          </w:p>
        </w:tc>
      </w:tr>
      <w:tr w:rsidR="009C400A" w:rsidRPr="009C400A" w:rsidTr="00604185">
        <w:trPr>
          <w:trHeight w:val="576"/>
          <w:jc w:val="center"/>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PSC</w:t>
            </w:r>
          </w:p>
        </w:tc>
        <w:tc>
          <w:tcPr>
            <w:tcW w:w="677"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w:t>
            </w:r>
          </w:p>
        </w:tc>
        <w:tc>
          <w:tcPr>
            <w:tcW w:w="1249"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10.95</w:t>
            </w:r>
          </w:p>
        </w:tc>
        <w:tc>
          <w:tcPr>
            <w:tcW w:w="911"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2.48</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0.76</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2.55</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3.35*</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38</w:t>
            </w:r>
          </w:p>
        </w:tc>
        <w:tc>
          <w:tcPr>
            <w:tcW w:w="9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2.02</w:t>
            </w:r>
          </w:p>
        </w:tc>
      </w:tr>
      <w:tr w:rsidR="009C400A" w:rsidRPr="009C400A" w:rsidTr="00604185">
        <w:trPr>
          <w:trHeight w:val="576"/>
          <w:jc w:val="center"/>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NPSC</w:t>
            </w:r>
          </w:p>
        </w:tc>
        <w:tc>
          <w:tcPr>
            <w:tcW w:w="677"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20</w:t>
            </w:r>
          </w:p>
        </w:tc>
        <w:tc>
          <w:tcPr>
            <w:tcW w:w="1249"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13.50</w:t>
            </w:r>
          </w:p>
        </w:tc>
        <w:tc>
          <w:tcPr>
            <w:tcW w:w="911" w:type="dxa"/>
            <w:tcBorders>
              <w:top w:val="nil"/>
              <w:left w:val="nil"/>
              <w:bottom w:val="single" w:sz="4" w:space="0" w:color="auto"/>
              <w:right w:val="single" w:sz="4" w:space="0" w:color="auto"/>
            </w:tcBorders>
            <w:shd w:val="clear" w:color="auto" w:fill="auto"/>
            <w:noWrap/>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r w:rsidRPr="009C400A">
              <w:rPr>
                <w:rFonts w:ascii="Times New Roman" w:eastAsia="Times New Roman" w:hAnsi="Times New Roman" w:cs="Times New Roman"/>
                <w:color w:val="000000"/>
                <w:sz w:val="24"/>
                <w:szCs w:val="24"/>
                <w:lang w:val="en-US" w:bidi="as-IN"/>
              </w:rPr>
              <w:t>2.33</w:t>
            </w: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p>
        </w:tc>
        <w:tc>
          <w:tcPr>
            <w:tcW w:w="911" w:type="dxa"/>
            <w:vMerge/>
            <w:tcBorders>
              <w:top w:val="nil"/>
              <w:left w:val="single" w:sz="4" w:space="0" w:color="auto"/>
              <w:bottom w:val="single" w:sz="4" w:space="0" w:color="auto"/>
              <w:right w:val="single" w:sz="4" w:space="0" w:color="auto"/>
            </w:tcBorders>
            <w:vAlign w:val="center"/>
            <w:hideMark/>
          </w:tcPr>
          <w:p w:rsidR="009C400A" w:rsidRPr="009C400A" w:rsidRDefault="009C400A" w:rsidP="009C400A">
            <w:pPr>
              <w:spacing w:after="0" w:line="240" w:lineRule="auto"/>
              <w:jc w:val="both"/>
              <w:rPr>
                <w:rFonts w:ascii="Times New Roman" w:eastAsia="Times New Roman" w:hAnsi="Times New Roman" w:cs="Times New Roman"/>
                <w:color w:val="000000"/>
                <w:sz w:val="24"/>
                <w:szCs w:val="24"/>
                <w:lang w:val="en-US" w:bidi="as-IN"/>
              </w:rPr>
            </w:pPr>
          </w:p>
        </w:tc>
      </w:tr>
    </w:tbl>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**PSC=protein supplement and NPSC=non-protein supplement consumers</w:t>
      </w:r>
    </w:p>
    <w:p w:rsidR="009C400A" w:rsidRPr="009C400A" w:rsidRDefault="009C400A" w:rsidP="009C400A">
      <w:pPr>
        <w:spacing w:after="0" w:line="276" w:lineRule="auto"/>
        <w:ind w:firstLine="1080"/>
        <w:jc w:val="both"/>
        <w:rPr>
          <w:rFonts w:ascii="Times New Roman" w:eastAsia="Calibri" w:hAnsi="Times New Roman" w:cs="Times New Roman"/>
          <w:sz w:val="24"/>
          <w:szCs w:val="24"/>
          <w:lang w:val="en-US"/>
        </w:rPr>
      </w:pPr>
      <w:r w:rsidRPr="009C400A">
        <w:rPr>
          <w:rFonts w:ascii="Times New Roman" w:eastAsia="Calibri" w:hAnsi="Times New Roman" w:cs="Times New Roman"/>
          <w:sz w:val="24"/>
          <w:szCs w:val="24"/>
          <w:lang w:val="en-US"/>
        </w:rPr>
        <w:t>Table-2 indicates that that the obtained ‘t’ value of 3.35 between protein supplement and non-protein supplement consumers in strength was found to be significant at 0.05 level of confidence as we obtained value of 2.02 with 38 degree of freedom.</w:t>
      </w:r>
    </w:p>
    <w:p w:rsidR="009C400A" w:rsidRPr="009C400A" w:rsidRDefault="009C400A" w:rsidP="009C400A">
      <w:pPr>
        <w:spacing w:after="0" w:line="276" w:lineRule="auto"/>
        <w:jc w:val="center"/>
        <w:rPr>
          <w:rFonts w:ascii="Times New Roman" w:eastAsia="Calibri" w:hAnsi="Times New Roman" w:cs="Times New Roman"/>
          <w:sz w:val="24"/>
          <w:szCs w:val="24"/>
          <w:lang w:val="en-US"/>
        </w:rPr>
      </w:pPr>
      <w:r w:rsidRPr="009C400A">
        <w:rPr>
          <w:rFonts w:ascii="Times New Roman" w:eastAsia="Calibri" w:hAnsi="Times New Roman" w:cs="Times New Roman"/>
          <w:noProof/>
          <w:sz w:val="24"/>
          <w:szCs w:val="24"/>
          <w:lang w:eastAsia="en-IN"/>
        </w:rPr>
        <w:lastRenderedPageBreak/>
        <w:drawing>
          <wp:inline distT="0" distB="0" distL="0" distR="0" wp14:anchorId="2CDD5963" wp14:editId="42BAFE36">
            <wp:extent cx="3070860" cy="1719580"/>
            <wp:effectExtent l="0" t="0" r="15240" b="1397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C400A" w:rsidRPr="009C400A" w:rsidRDefault="009C400A" w:rsidP="009C400A">
      <w:pPr>
        <w:spacing w:after="0" w:line="276" w:lineRule="auto"/>
        <w:jc w:val="center"/>
        <w:rPr>
          <w:rFonts w:ascii="Times New Roman" w:eastAsia="Calibri" w:hAnsi="Times New Roman" w:cs="Times New Roman"/>
          <w:b/>
          <w:bCs/>
          <w:sz w:val="24"/>
          <w:szCs w:val="24"/>
          <w:lang w:val="en-US"/>
        </w:rPr>
      </w:pPr>
      <w:r w:rsidRPr="009C400A">
        <w:rPr>
          <w:rFonts w:ascii="Times New Roman" w:eastAsia="Calibri" w:hAnsi="Times New Roman" w:cs="Times New Roman"/>
          <w:b/>
          <w:bCs/>
          <w:sz w:val="24"/>
          <w:szCs w:val="24"/>
          <w:lang w:val="en-US"/>
        </w:rPr>
        <w:t>Graph-2: The graph showing the mean value of flexibility</w:t>
      </w:r>
    </w:p>
    <w:p w:rsidR="009C400A" w:rsidRPr="009C400A" w:rsidRDefault="009C400A" w:rsidP="009C400A">
      <w:pPr>
        <w:autoSpaceDE w:val="0"/>
        <w:autoSpaceDN w:val="0"/>
        <w:adjustRightInd w:val="0"/>
        <w:spacing w:after="0" w:line="276" w:lineRule="auto"/>
        <w:jc w:val="both"/>
        <w:rPr>
          <w:rFonts w:ascii="Times New Roman" w:eastAsia="Calibri" w:hAnsi="Times New Roman" w:cs="Times New Roman"/>
          <w:b/>
          <w:bCs/>
          <w:sz w:val="24"/>
          <w:szCs w:val="24"/>
          <w:lang w:val="en-US" w:bidi="as-IN"/>
        </w:rPr>
      </w:pPr>
    </w:p>
    <w:p w:rsidR="009C400A" w:rsidRPr="009C400A" w:rsidRDefault="009C400A" w:rsidP="009C400A">
      <w:pPr>
        <w:autoSpaceDE w:val="0"/>
        <w:autoSpaceDN w:val="0"/>
        <w:adjustRightInd w:val="0"/>
        <w:spacing w:after="0" w:line="276" w:lineRule="auto"/>
        <w:jc w:val="both"/>
        <w:rPr>
          <w:rFonts w:ascii="Times New Roman" w:eastAsia="Calibri" w:hAnsi="Times New Roman" w:cs="Times New Roman"/>
          <w:b/>
          <w:bCs/>
          <w:sz w:val="24"/>
          <w:szCs w:val="24"/>
          <w:lang w:val="en-US" w:bidi="as-IN"/>
        </w:rPr>
      </w:pPr>
      <w:r w:rsidRPr="009C400A">
        <w:rPr>
          <w:rFonts w:ascii="Times New Roman" w:eastAsia="Calibri" w:hAnsi="Times New Roman" w:cs="Times New Roman"/>
          <w:b/>
          <w:bCs/>
          <w:sz w:val="24"/>
          <w:szCs w:val="24"/>
          <w:lang w:val="en-US" w:bidi="as-IN"/>
        </w:rPr>
        <w:t>Conclusion:</w:t>
      </w:r>
    </w:p>
    <w:p w:rsidR="009C400A" w:rsidRPr="009C400A" w:rsidRDefault="009C400A" w:rsidP="009C400A">
      <w:pPr>
        <w:spacing w:after="0" w:line="276" w:lineRule="auto"/>
        <w:ind w:firstLine="1080"/>
        <w:contextualSpacing/>
        <w:jc w:val="both"/>
        <w:rPr>
          <w:rFonts w:ascii="Times New Roman" w:eastAsia="Calibri" w:hAnsi="Times New Roman" w:cs="Times New Roman"/>
          <w:color w:val="000000"/>
          <w:sz w:val="24"/>
          <w:szCs w:val="24"/>
          <w:lang w:val="en-US"/>
        </w:rPr>
      </w:pPr>
      <w:r w:rsidRPr="009C400A">
        <w:rPr>
          <w:rFonts w:ascii="Times New Roman" w:eastAsia="Calibri" w:hAnsi="Times New Roman" w:cs="Times New Roman"/>
          <w:color w:val="000000"/>
          <w:sz w:val="24"/>
          <w:szCs w:val="24"/>
          <w:lang w:val="en-US"/>
        </w:rPr>
        <w:t xml:space="preserve">On the basis of the result drawn with the mentioned methodology the following conclusion were soughed out. </w:t>
      </w:r>
      <w:r w:rsidRPr="009C400A">
        <w:rPr>
          <w:rFonts w:ascii="Times New Roman" w:eastAsia="Calibri" w:hAnsi="Times New Roman" w:cs="Times New Roman"/>
          <w:sz w:val="24"/>
          <w:szCs w:val="24"/>
          <w:lang w:val="en-US"/>
        </w:rPr>
        <w:t xml:space="preserve">There was significant difference between protein supplement and non-protein supplement consumers in strength and flexibility. Protein supplements consumers have comparatively more strength than non-protein supplement consumers. But non-protein supplements consumers have comparatively more flexibility than protein supplement consumers.  </w:t>
      </w:r>
    </w:p>
    <w:p w:rsidR="009C400A" w:rsidRPr="009C400A" w:rsidRDefault="009C400A" w:rsidP="009C400A">
      <w:pPr>
        <w:spacing w:after="0" w:line="276" w:lineRule="auto"/>
        <w:contextualSpacing/>
        <w:jc w:val="both"/>
        <w:rPr>
          <w:rFonts w:ascii="Times New Roman" w:eastAsia="Calibri" w:hAnsi="Times New Roman" w:cs="Times New Roman"/>
          <w:b/>
          <w:color w:val="000000"/>
          <w:sz w:val="24"/>
          <w:szCs w:val="24"/>
          <w:lang w:val="en-US"/>
        </w:rPr>
      </w:pPr>
    </w:p>
    <w:p w:rsidR="009C400A" w:rsidRPr="009C400A" w:rsidRDefault="009C400A" w:rsidP="009C400A">
      <w:pPr>
        <w:spacing w:after="0" w:line="240" w:lineRule="auto"/>
        <w:contextualSpacing/>
        <w:jc w:val="both"/>
        <w:rPr>
          <w:rFonts w:ascii="Times New Roman" w:eastAsia="Calibri" w:hAnsi="Times New Roman" w:cs="Times New Roman"/>
          <w:b/>
          <w:color w:val="000000"/>
          <w:lang w:val="en-US"/>
        </w:rPr>
      </w:pPr>
      <w:r w:rsidRPr="009C400A">
        <w:rPr>
          <w:rFonts w:ascii="Times New Roman" w:eastAsia="Calibri" w:hAnsi="Times New Roman" w:cs="Times New Roman"/>
          <w:b/>
          <w:color w:val="000000"/>
          <w:lang w:val="en-US"/>
        </w:rPr>
        <w:t>References:</w:t>
      </w:r>
    </w:p>
    <w:p w:rsidR="009C400A" w:rsidRPr="009C400A" w:rsidRDefault="009C400A" w:rsidP="009C400A">
      <w:pPr>
        <w:numPr>
          <w:ilvl w:val="0"/>
          <w:numId w:val="1"/>
        </w:numPr>
        <w:spacing w:after="0" w:line="240" w:lineRule="auto"/>
        <w:jc w:val="both"/>
        <w:rPr>
          <w:rFonts w:ascii="Times New Roman" w:eastAsia="Times New Roman" w:hAnsi="Times New Roman" w:cs="Times New Roman"/>
          <w:lang w:val="en-US"/>
        </w:rPr>
      </w:pPr>
      <w:r w:rsidRPr="009C400A">
        <w:rPr>
          <w:rFonts w:ascii="Times New Roman" w:eastAsia="Times New Roman" w:hAnsi="Times New Roman" w:cs="Times New Roman"/>
          <w:lang w:val="en-US"/>
        </w:rPr>
        <w:t>https://www.healthunbox.com/benefits-of-protein-powder/</w:t>
      </w:r>
    </w:p>
    <w:p w:rsidR="009C400A" w:rsidRPr="009C400A" w:rsidRDefault="009C400A" w:rsidP="009C400A">
      <w:pPr>
        <w:numPr>
          <w:ilvl w:val="0"/>
          <w:numId w:val="1"/>
        </w:numPr>
        <w:spacing w:after="0" w:line="240" w:lineRule="auto"/>
        <w:jc w:val="both"/>
        <w:rPr>
          <w:rFonts w:ascii="Times New Roman" w:eastAsia="Times New Roman" w:hAnsi="Times New Roman" w:cs="Times New Roman"/>
          <w:lang w:val="en-US"/>
        </w:rPr>
      </w:pPr>
      <w:r w:rsidRPr="009C400A">
        <w:rPr>
          <w:rFonts w:ascii="Times New Roman" w:eastAsia="Times New Roman" w:hAnsi="Times New Roman" w:cs="Times New Roman"/>
          <w:lang w:val="en-US"/>
        </w:rPr>
        <w:t xml:space="preserve">Getchell, Bud. (1979). </w:t>
      </w:r>
      <w:r w:rsidRPr="009C400A">
        <w:rPr>
          <w:rFonts w:ascii="Times New Roman" w:eastAsia="Times New Roman" w:hAnsi="Times New Roman" w:cs="Times New Roman"/>
          <w:i/>
          <w:iCs/>
          <w:lang w:val="en-US"/>
        </w:rPr>
        <w:t>Physical Fitness: A Way of Life.</w:t>
      </w:r>
      <w:r w:rsidRPr="009C400A">
        <w:rPr>
          <w:rFonts w:ascii="Times New Roman" w:eastAsia="Times New Roman" w:hAnsi="Times New Roman" w:cs="Times New Roman"/>
          <w:lang w:val="en-US"/>
        </w:rPr>
        <w:t xml:space="preserve"> New York: John Wiley and Sons, Inc. Publication, Second Edition, 9-10. </w:t>
      </w:r>
    </w:p>
    <w:p w:rsidR="009C400A" w:rsidRPr="009C400A" w:rsidRDefault="009C400A" w:rsidP="009C400A">
      <w:pPr>
        <w:numPr>
          <w:ilvl w:val="0"/>
          <w:numId w:val="1"/>
        </w:numPr>
        <w:spacing w:after="0" w:line="240" w:lineRule="auto"/>
        <w:jc w:val="both"/>
        <w:rPr>
          <w:rFonts w:ascii="Times New Roman" w:eastAsia="Times New Roman" w:hAnsi="Times New Roman" w:cs="Times New Roman"/>
          <w:lang w:val="en-US"/>
        </w:rPr>
      </w:pPr>
      <w:r w:rsidRPr="009C400A">
        <w:rPr>
          <w:rFonts w:ascii="Times New Roman" w:eastAsia="Times New Roman" w:hAnsi="Times New Roman" w:cs="Times New Roman"/>
          <w:lang w:val="en-US"/>
        </w:rPr>
        <w:t xml:space="preserve">Corbin Charles B. and Lindsey. (2002). </w:t>
      </w:r>
      <w:r w:rsidRPr="009C400A">
        <w:rPr>
          <w:rFonts w:ascii="Times New Roman" w:eastAsia="Times New Roman" w:hAnsi="Times New Roman" w:cs="Times New Roman"/>
          <w:i/>
          <w:iCs/>
          <w:lang w:val="en-US"/>
        </w:rPr>
        <w:t>Ruth Fitness for Life</w:t>
      </w:r>
      <w:r w:rsidRPr="009C400A">
        <w:rPr>
          <w:rFonts w:ascii="Times New Roman" w:eastAsia="Times New Roman" w:hAnsi="Times New Roman" w:cs="Times New Roman"/>
          <w:lang w:val="en-US"/>
        </w:rPr>
        <w:t>. California: Human Kinetics Publishers, Inc., Fourth Edition, 2-3.</w:t>
      </w:r>
    </w:p>
    <w:p w:rsidR="009C400A" w:rsidRPr="009C400A" w:rsidRDefault="009C400A" w:rsidP="009C400A">
      <w:pPr>
        <w:numPr>
          <w:ilvl w:val="0"/>
          <w:numId w:val="1"/>
        </w:numPr>
        <w:autoSpaceDE w:val="0"/>
        <w:autoSpaceDN w:val="0"/>
        <w:adjustRightInd w:val="0"/>
        <w:spacing w:after="0" w:line="240" w:lineRule="auto"/>
        <w:jc w:val="both"/>
        <w:rPr>
          <w:rFonts w:ascii="Times New Roman" w:eastAsia="Times New Roman" w:hAnsi="Times New Roman" w:cs="Times New Roman"/>
          <w:lang w:val="en-US"/>
        </w:rPr>
      </w:pPr>
      <w:proofErr w:type="spellStart"/>
      <w:proofErr w:type="gramStart"/>
      <w:r w:rsidRPr="009C400A">
        <w:rPr>
          <w:rFonts w:ascii="Times New Roman" w:eastAsia="Times New Roman" w:hAnsi="Times New Roman" w:cs="Times New Roman"/>
          <w:lang w:val="en-US" w:bidi="as-IN"/>
        </w:rPr>
        <w:t>Hian,T</w:t>
      </w:r>
      <w:proofErr w:type="spellEnd"/>
      <w:r w:rsidRPr="009C400A">
        <w:rPr>
          <w:rFonts w:ascii="Times New Roman" w:eastAsia="Times New Roman" w:hAnsi="Times New Roman" w:cs="Times New Roman"/>
          <w:lang w:val="en-US" w:bidi="as-IN"/>
        </w:rPr>
        <w:t>.</w:t>
      </w:r>
      <w:proofErr w:type="gramEnd"/>
      <w:r w:rsidRPr="009C400A">
        <w:rPr>
          <w:rFonts w:ascii="Times New Roman" w:eastAsia="Times New Roman" w:hAnsi="Times New Roman" w:cs="Times New Roman"/>
          <w:lang w:val="en-US" w:bidi="as-IN"/>
        </w:rPr>
        <w:t xml:space="preserve"> C., Mahmud, Z. F. &amp; </w:t>
      </w:r>
      <w:proofErr w:type="spellStart"/>
      <w:r w:rsidRPr="009C400A">
        <w:rPr>
          <w:rFonts w:ascii="Times New Roman" w:eastAsia="Times New Roman" w:hAnsi="Times New Roman" w:cs="Times New Roman"/>
          <w:lang w:val="en-US" w:bidi="as-IN"/>
        </w:rPr>
        <w:t>Choong</w:t>
      </w:r>
      <w:proofErr w:type="spellEnd"/>
      <w:r w:rsidRPr="009C400A">
        <w:rPr>
          <w:rFonts w:ascii="Times New Roman" w:eastAsia="Times New Roman" w:hAnsi="Times New Roman" w:cs="Times New Roman"/>
          <w:lang w:val="en-US" w:bidi="as-IN"/>
        </w:rPr>
        <w:t xml:space="preserve">, T. Y. (2013). Physical Fitness Level between Urban and Rural Students- Case Study. </w:t>
      </w:r>
      <w:r w:rsidRPr="009C400A">
        <w:rPr>
          <w:rFonts w:ascii="Times New Roman" w:eastAsia="Times New Roman" w:hAnsi="Times New Roman" w:cs="Times New Roman"/>
          <w:i/>
          <w:iCs/>
          <w:lang w:val="en-US" w:bidi="as-IN"/>
        </w:rPr>
        <w:t>Procedia - Social and Behavioral Sciences</w:t>
      </w:r>
      <w:r w:rsidRPr="009C400A">
        <w:rPr>
          <w:rFonts w:ascii="Times New Roman" w:eastAsia="Times New Roman" w:hAnsi="Times New Roman" w:cs="Times New Roman"/>
          <w:lang w:val="en-US" w:bidi="as-IN"/>
        </w:rPr>
        <w:t>, 90, 847 – 852. Available online at www.sciencedirect.com</w:t>
      </w:r>
    </w:p>
    <w:p w:rsidR="009C400A" w:rsidRPr="009C400A" w:rsidRDefault="009C400A" w:rsidP="009C400A">
      <w:pPr>
        <w:numPr>
          <w:ilvl w:val="0"/>
          <w:numId w:val="1"/>
        </w:numPr>
        <w:autoSpaceDE w:val="0"/>
        <w:autoSpaceDN w:val="0"/>
        <w:adjustRightInd w:val="0"/>
        <w:spacing w:after="0" w:line="240" w:lineRule="auto"/>
        <w:jc w:val="both"/>
        <w:rPr>
          <w:rFonts w:ascii="Times New Roman" w:eastAsia="Times New Roman" w:hAnsi="Times New Roman" w:cs="Times New Roman"/>
          <w:lang w:val="en-US"/>
        </w:rPr>
      </w:pPr>
      <w:proofErr w:type="spellStart"/>
      <w:r w:rsidRPr="009C400A">
        <w:rPr>
          <w:rFonts w:ascii="Times New Roman" w:eastAsia="Times New Roman" w:hAnsi="Times New Roman" w:cs="Times New Roman"/>
          <w:lang w:val="en-US" w:bidi="as-IN"/>
        </w:rPr>
        <w:t>Kuriakose</w:t>
      </w:r>
      <w:proofErr w:type="spellEnd"/>
      <w:r w:rsidRPr="009C400A">
        <w:rPr>
          <w:rFonts w:ascii="Times New Roman" w:eastAsia="Times New Roman" w:hAnsi="Times New Roman" w:cs="Times New Roman"/>
          <w:lang w:val="en-US" w:bidi="as-IN"/>
        </w:rPr>
        <w:t xml:space="preserve">, Santhosh K. &amp; Abraham, George. (2015). Comparison of motor fitness abilities of rural and urban school students. </w:t>
      </w:r>
      <w:r w:rsidRPr="009C400A">
        <w:rPr>
          <w:rFonts w:ascii="Times New Roman" w:eastAsia="Times New Roman" w:hAnsi="Times New Roman" w:cs="Times New Roman"/>
          <w:i/>
          <w:iCs/>
          <w:lang w:val="en-US" w:bidi="as-IN"/>
        </w:rPr>
        <w:t>International Journal of Multidisciplinary Research and Development</w:t>
      </w:r>
      <w:r w:rsidRPr="009C400A">
        <w:rPr>
          <w:rFonts w:ascii="Times New Roman" w:eastAsia="Times New Roman" w:hAnsi="Times New Roman" w:cs="Times New Roman"/>
          <w:lang w:val="en-US" w:bidi="as-IN"/>
        </w:rPr>
        <w:t xml:space="preserve">, </w:t>
      </w:r>
      <w:r w:rsidRPr="009C400A">
        <w:rPr>
          <w:rFonts w:ascii="Times New Roman" w:eastAsia="Times New Roman" w:hAnsi="Times New Roman" w:cs="Times New Roman"/>
          <w:i/>
          <w:iCs/>
          <w:lang w:val="en-US" w:bidi="as-IN"/>
        </w:rPr>
        <w:t xml:space="preserve">2 </w:t>
      </w:r>
      <w:r w:rsidRPr="009C400A">
        <w:rPr>
          <w:rFonts w:ascii="Times New Roman" w:eastAsia="Times New Roman" w:hAnsi="Times New Roman" w:cs="Times New Roman"/>
          <w:lang w:val="en-US" w:bidi="as-IN"/>
        </w:rPr>
        <w:t>(11)</w:t>
      </w:r>
      <w:r w:rsidRPr="009C400A">
        <w:rPr>
          <w:rFonts w:ascii="Times New Roman" w:eastAsia="Times New Roman" w:hAnsi="Times New Roman" w:cs="Times New Roman"/>
          <w:i/>
          <w:iCs/>
          <w:lang w:val="en-US" w:bidi="as-IN"/>
        </w:rPr>
        <w:t xml:space="preserve">, </w:t>
      </w:r>
      <w:r w:rsidRPr="009C400A">
        <w:rPr>
          <w:rFonts w:ascii="Times New Roman" w:eastAsia="Times New Roman" w:hAnsi="Times New Roman" w:cs="Times New Roman"/>
          <w:lang w:val="en-US" w:bidi="as-IN"/>
        </w:rPr>
        <w:t xml:space="preserve">445-447. Available online at </w:t>
      </w:r>
      <w:hyperlink r:id="rId7" w:history="1">
        <w:r w:rsidRPr="009C400A">
          <w:rPr>
            <w:rFonts w:ascii="Times New Roman" w:eastAsia="Times New Roman" w:hAnsi="Times New Roman" w:cs="Times New Roman"/>
            <w:color w:val="0000FF"/>
            <w:u w:val="single"/>
            <w:lang w:val="en-US" w:bidi="as-IN"/>
          </w:rPr>
          <w:t>www.allsubjectjournal.com</w:t>
        </w:r>
      </w:hyperlink>
    </w:p>
    <w:p w:rsidR="009C400A" w:rsidRPr="009C400A" w:rsidRDefault="009C400A" w:rsidP="009C400A">
      <w:pPr>
        <w:numPr>
          <w:ilvl w:val="0"/>
          <w:numId w:val="1"/>
        </w:numPr>
        <w:autoSpaceDE w:val="0"/>
        <w:autoSpaceDN w:val="0"/>
        <w:adjustRightInd w:val="0"/>
        <w:spacing w:after="0" w:line="240" w:lineRule="auto"/>
        <w:jc w:val="both"/>
        <w:rPr>
          <w:rFonts w:ascii="Times New Roman" w:eastAsia="Times New Roman" w:hAnsi="Times New Roman" w:cs="Times New Roman"/>
          <w:lang w:val="en-US"/>
        </w:rPr>
      </w:pPr>
      <w:proofErr w:type="spellStart"/>
      <w:r w:rsidRPr="009C400A">
        <w:rPr>
          <w:rFonts w:ascii="Times New Roman" w:eastAsia="Times New Roman" w:hAnsi="Times New Roman" w:cs="Times New Roman"/>
          <w:sz w:val="24"/>
          <w:szCs w:val="24"/>
          <w:lang w:val="en-US" w:bidi="as-IN"/>
        </w:rPr>
        <w:t>Tesfaye</w:t>
      </w:r>
      <w:proofErr w:type="spellEnd"/>
      <w:r w:rsidRPr="009C400A">
        <w:rPr>
          <w:rFonts w:ascii="Times New Roman" w:eastAsia="Times New Roman" w:hAnsi="Times New Roman" w:cs="Times New Roman"/>
          <w:sz w:val="24"/>
          <w:szCs w:val="24"/>
          <w:lang w:val="en-US" w:bidi="as-IN"/>
        </w:rPr>
        <w:t xml:space="preserve">, Abate. (2013). Comparison of Physical Fitness Components of Rural and Urban Secondary School Female Students in Hadiya Zone. </w:t>
      </w:r>
      <w:r w:rsidRPr="009C400A">
        <w:rPr>
          <w:rFonts w:ascii="Times New Roman" w:eastAsia="Times New Roman" w:hAnsi="Times New Roman" w:cs="Times New Roman"/>
          <w:i/>
          <w:iCs/>
          <w:sz w:val="24"/>
          <w:szCs w:val="24"/>
          <w:lang w:val="en-US" w:bidi="as-IN"/>
        </w:rPr>
        <w:t>Master Thesis,</w:t>
      </w:r>
      <w:r w:rsidRPr="009C400A">
        <w:rPr>
          <w:rFonts w:ascii="Times New Roman" w:eastAsia="Times New Roman" w:hAnsi="Times New Roman" w:cs="Times New Roman"/>
          <w:sz w:val="24"/>
          <w:szCs w:val="24"/>
          <w:lang w:val="en-US" w:bidi="as-IN"/>
        </w:rPr>
        <w:t xml:space="preserve"> Addis Ababa University, Partial.</w:t>
      </w:r>
      <w:bookmarkEnd w:id="0"/>
    </w:p>
    <w:p w:rsidR="009C400A" w:rsidRPr="009C400A" w:rsidRDefault="009C400A" w:rsidP="009C400A">
      <w:pPr>
        <w:autoSpaceDE w:val="0"/>
        <w:autoSpaceDN w:val="0"/>
        <w:adjustRightInd w:val="0"/>
        <w:spacing w:after="0" w:line="240" w:lineRule="auto"/>
        <w:ind w:left="720"/>
        <w:jc w:val="both"/>
        <w:rPr>
          <w:rFonts w:ascii="Times New Roman" w:eastAsia="Times New Roman" w:hAnsi="Times New Roman" w:cs="Times New Roman"/>
          <w:lang w:val="en-US"/>
        </w:rPr>
      </w:pPr>
    </w:p>
    <w:p w:rsidR="009C400A" w:rsidRPr="009C400A" w:rsidRDefault="009C400A" w:rsidP="009C400A">
      <w:pPr>
        <w:spacing w:after="200" w:line="276" w:lineRule="auto"/>
        <w:rPr>
          <w:rFonts w:ascii="Calibri" w:eastAsia="Calibri" w:hAnsi="Calibri" w:cs="Mangal"/>
          <w:lang w:val="en-US"/>
        </w:rPr>
      </w:pPr>
    </w:p>
    <w:p w:rsidR="00BE6451" w:rsidRDefault="00BE6451">
      <w:bookmarkStart w:id="1" w:name="_GoBack"/>
      <w:bookmarkEnd w:id="1"/>
    </w:p>
    <w:sectPr w:rsidR="00BE6451" w:rsidSect="002F6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36416"/>
    <w:multiLevelType w:val="hybridMultilevel"/>
    <w:tmpl w:val="D70C99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63D"/>
    <w:rsid w:val="0040263D"/>
    <w:rsid w:val="009C400A"/>
    <w:rsid w:val="00BE64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ED368-1684-460F-B9B3-09D07377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lsubjectjourn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solidFill>
          <a:srgbClr val="8064A2">
            <a:lumMod val="20000"/>
            <a:lumOff val="80000"/>
          </a:srgbClr>
        </a:solidFill>
        <a:ln>
          <a:solidFill>
            <a:schemeClr val="accent1"/>
          </a:solidFill>
        </a:ln>
      </c:spPr>
    </c:floor>
    <c:sideWall>
      <c:thickness val="0"/>
      <c:spPr>
        <a:solidFill>
          <a:schemeClr val="accent4">
            <a:lumMod val="20000"/>
            <a:lumOff val="80000"/>
          </a:schemeClr>
        </a:solidFill>
        <a:ln>
          <a:solidFill>
            <a:srgbClr val="4F81BD"/>
          </a:solidFill>
        </a:ln>
      </c:spPr>
    </c:sideWall>
    <c:backWall>
      <c:thickness val="0"/>
      <c:spPr>
        <a:solidFill>
          <a:schemeClr val="accent4">
            <a:lumMod val="20000"/>
            <a:lumOff val="80000"/>
          </a:schemeClr>
        </a:solidFill>
        <a:ln>
          <a:solidFill>
            <a:srgbClr val="4F81BD"/>
          </a:solidFill>
        </a:ln>
      </c:spPr>
    </c:backWall>
    <c:plotArea>
      <c:layout/>
      <c:bar3DChart>
        <c:barDir val="col"/>
        <c:grouping val="clustered"/>
        <c:varyColors val="0"/>
        <c:ser>
          <c:idx val="0"/>
          <c:order val="0"/>
          <c:tx>
            <c:strRef>
              <c:f>Sheet1!$A$36</c:f>
              <c:strCache>
                <c:ptCount val="1"/>
                <c:pt idx="0">
                  <c:v>PSC</c:v>
                </c:pt>
              </c:strCache>
            </c:strRef>
          </c:tx>
          <c:invertIfNegative val="0"/>
          <c:dLbls>
            <c:spPr>
              <a:ln>
                <a:solidFill>
                  <a:srgbClr val="4F81BD"/>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Sheet1!$C$36</c:f>
              <c:numCache>
                <c:formatCode>0.00</c:formatCode>
                <c:ptCount val="1"/>
                <c:pt idx="0">
                  <c:v>21.9</c:v>
                </c:pt>
              </c:numCache>
            </c:numRef>
          </c:val>
          <c:extLst>
            <c:ext xmlns:c16="http://schemas.microsoft.com/office/drawing/2014/chart" uri="{C3380CC4-5D6E-409C-BE32-E72D297353CC}">
              <c16:uniqueId val="{00000000-4866-4461-AE81-A0E337BF615A}"/>
            </c:ext>
          </c:extLst>
        </c:ser>
        <c:ser>
          <c:idx val="1"/>
          <c:order val="1"/>
          <c:tx>
            <c:strRef>
              <c:f>Sheet1!$A$37</c:f>
              <c:strCache>
                <c:ptCount val="1"/>
                <c:pt idx="0">
                  <c:v>NPSC</c:v>
                </c:pt>
              </c:strCache>
            </c:strRef>
          </c:tx>
          <c:invertIfNegative val="0"/>
          <c:dLbls>
            <c:spPr>
              <a:ln>
                <a:solidFill>
                  <a:srgbClr val="4F81BD"/>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Sheet1!$C$37</c:f>
              <c:numCache>
                <c:formatCode>0.00</c:formatCode>
                <c:ptCount val="1"/>
                <c:pt idx="0">
                  <c:v>18.850000000000001</c:v>
                </c:pt>
              </c:numCache>
            </c:numRef>
          </c:val>
          <c:extLst>
            <c:ext xmlns:c16="http://schemas.microsoft.com/office/drawing/2014/chart" uri="{C3380CC4-5D6E-409C-BE32-E72D297353CC}">
              <c16:uniqueId val="{00000001-4866-4461-AE81-A0E337BF615A}"/>
            </c:ext>
          </c:extLst>
        </c:ser>
        <c:dLbls>
          <c:showLegendKey val="0"/>
          <c:showVal val="0"/>
          <c:showCatName val="0"/>
          <c:showSerName val="0"/>
          <c:showPercent val="0"/>
          <c:showBubbleSize val="0"/>
        </c:dLbls>
        <c:gapWidth val="150"/>
        <c:shape val="pyramid"/>
        <c:axId val="270273184"/>
        <c:axId val="270273968"/>
        <c:axId val="0"/>
      </c:bar3DChart>
      <c:catAx>
        <c:axId val="270273184"/>
        <c:scaling>
          <c:orientation val="minMax"/>
        </c:scaling>
        <c:delete val="1"/>
        <c:axPos val="b"/>
        <c:majorTickMark val="out"/>
        <c:minorTickMark val="none"/>
        <c:tickLblPos val="nextTo"/>
        <c:crossAx val="270273968"/>
        <c:crosses val="autoZero"/>
        <c:auto val="1"/>
        <c:lblAlgn val="ctr"/>
        <c:lblOffset val="100"/>
        <c:noMultiLvlLbl val="0"/>
      </c:catAx>
      <c:valAx>
        <c:axId val="270273968"/>
        <c:scaling>
          <c:orientation val="minMax"/>
        </c:scaling>
        <c:delete val="0"/>
        <c:axPos val="l"/>
        <c:numFmt formatCode="0.00" sourceLinked="1"/>
        <c:majorTickMark val="out"/>
        <c:minorTickMark val="none"/>
        <c:tickLblPos val="nextTo"/>
        <c:crossAx val="270273184"/>
        <c:crosses val="autoZero"/>
        <c:crossBetween val="between"/>
      </c:valAx>
    </c:plotArea>
    <c:legend>
      <c:legendPos val="t"/>
      <c:layout>
        <c:manualLayout>
          <c:xMode val="edge"/>
          <c:yMode val="edge"/>
          <c:x val="0.72177099737532868"/>
          <c:y val="2.7777777777777821E-2"/>
          <c:w val="0.20911636045494328"/>
          <c:h val="7.8537839020122513E-2"/>
        </c:manualLayout>
      </c:layout>
      <c:overlay val="0"/>
      <c:spPr>
        <a:ln>
          <a:solidFill>
            <a:srgbClr val="4F81BD"/>
          </a:solidFill>
        </a:ln>
      </c:spPr>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solidFill>
          <a:srgbClr val="8064A2">
            <a:lumMod val="20000"/>
            <a:lumOff val="80000"/>
          </a:srgbClr>
        </a:solidFill>
        <a:ln>
          <a:solidFill>
            <a:schemeClr val="accent1"/>
          </a:solidFill>
        </a:ln>
      </c:spPr>
    </c:floor>
    <c:sideWall>
      <c:thickness val="0"/>
      <c:spPr>
        <a:solidFill>
          <a:schemeClr val="accent4">
            <a:lumMod val="20000"/>
            <a:lumOff val="80000"/>
          </a:schemeClr>
        </a:solidFill>
        <a:ln>
          <a:solidFill>
            <a:srgbClr val="4F81BD"/>
          </a:solidFill>
        </a:ln>
      </c:spPr>
    </c:sideWall>
    <c:backWall>
      <c:thickness val="0"/>
      <c:spPr>
        <a:solidFill>
          <a:schemeClr val="accent4">
            <a:lumMod val="20000"/>
            <a:lumOff val="80000"/>
          </a:schemeClr>
        </a:solidFill>
        <a:ln>
          <a:solidFill>
            <a:srgbClr val="4F81BD"/>
          </a:solidFill>
        </a:ln>
      </c:spPr>
    </c:backWall>
    <c:plotArea>
      <c:layout/>
      <c:bar3DChart>
        <c:barDir val="col"/>
        <c:grouping val="clustered"/>
        <c:varyColors val="0"/>
        <c:ser>
          <c:idx val="0"/>
          <c:order val="0"/>
          <c:tx>
            <c:strRef>
              <c:f>Sheet1!$A$39</c:f>
              <c:strCache>
                <c:ptCount val="1"/>
                <c:pt idx="0">
                  <c:v>PSC</c:v>
                </c:pt>
              </c:strCache>
            </c:strRef>
          </c:tx>
          <c:invertIfNegative val="0"/>
          <c:dLbls>
            <c:spPr>
              <a:ln>
                <a:solidFill>
                  <a:srgbClr val="4F81BD"/>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Sheet1!$C$39</c:f>
              <c:numCache>
                <c:formatCode>0.00</c:formatCode>
                <c:ptCount val="1"/>
                <c:pt idx="0">
                  <c:v>10.950000000000001</c:v>
                </c:pt>
              </c:numCache>
            </c:numRef>
          </c:val>
          <c:extLst>
            <c:ext xmlns:c16="http://schemas.microsoft.com/office/drawing/2014/chart" uri="{C3380CC4-5D6E-409C-BE32-E72D297353CC}">
              <c16:uniqueId val="{00000000-33B1-40B6-B100-01DCC2592CE1}"/>
            </c:ext>
          </c:extLst>
        </c:ser>
        <c:ser>
          <c:idx val="1"/>
          <c:order val="1"/>
          <c:tx>
            <c:strRef>
              <c:f>Sheet1!$A$40</c:f>
              <c:strCache>
                <c:ptCount val="1"/>
                <c:pt idx="0">
                  <c:v>NPSC</c:v>
                </c:pt>
              </c:strCache>
            </c:strRef>
          </c:tx>
          <c:invertIfNegative val="0"/>
          <c:dLbls>
            <c:spPr>
              <a:ln>
                <a:solidFill>
                  <a:srgbClr val="4F81BD"/>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Sheet1!$C$40</c:f>
              <c:numCache>
                <c:formatCode>0.00</c:formatCode>
                <c:ptCount val="1"/>
                <c:pt idx="0">
                  <c:v>13.5</c:v>
                </c:pt>
              </c:numCache>
            </c:numRef>
          </c:val>
          <c:extLst>
            <c:ext xmlns:c16="http://schemas.microsoft.com/office/drawing/2014/chart" uri="{C3380CC4-5D6E-409C-BE32-E72D297353CC}">
              <c16:uniqueId val="{00000001-33B1-40B6-B100-01DCC2592CE1}"/>
            </c:ext>
          </c:extLst>
        </c:ser>
        <c:dLbls>
          <c:showLegendKey val="0"/>
          <c:showVal val="0"/>
          <c:showCatName val="0"/>
          <c:showSerName val="0"/>
          <c:showPercent val="0"/>
          <c:showBubbleSize val="0"/>
        </c:dLbls>
        <c:gapWidth val="150"/>
        <c:shape val="pyramid"/>
        <c:axId val="270275536"/>
        <c:axId val="270270048"/>
        <c:axId val="0"/>
      </c:bar3DChart>
      <c:catAx>
        <c:axId val="270275536"/>
        <c:scaling>
          <c:orientation val="minMax"/>
        </c:scaling>
        <c:delete val="1"/>
        <c:axPos val="b"/>
        <c:majorTickMark val="out"/>
        <c:minorTickMark val="none"/>
        <c:tickLblPos val="nextTo"/>
        <c:crossAx val="270270048"/>
        <c:crosses val="autoZero"/>
        <c:auto val="1"/>
        <c:lblAlgn val="ctr"/>
        <c:lblOffset val="100"/>
        <c:noMultiLvlLbl val="0"/>
      </c:catAx>
      <c:valAx>
        <c:axId val="270270048"/>
        <c:scaling>
          <c:orientation val="minMax"/>
        </c:scaling>
        <c:delete val="0"/>
        <c:axPos val="l"/>
        <c:numFmt formatCode="0.00" sourceLinked="1"/>
        <c:majorTickMark val="out"/>
        <c:minorTickMark val="none"/>
        <c:tickLblPos val="nextTo"/>
        <c:crossAx val="270275536"/>
        <c:crosses val="autoZero"/>
        <c:crossBetween val="between"/>
      </c:valAx>
    </c:plotArea>
    <c:legend>
      <c:legendPos val="t"/>
      <c:layout>
        <c:manualLayout>
          <c:xMode val="edge"/>
          <c:yMode val="edge"/>
          <c:x val="0.7217709973753289"/>
          <c:y val="2.7777777777777842E-2"/>
          <c:w val="0.20911636045494333"/>
          <c:h val="7.8537839020122513E-2"/>
        </c:manualLayout>
      </c:layout>
      <c:overlay val="0"/>
      <c:spPr>
        <a:ln>
          <a:solidFill>
            <a:srgbClr val="4F81BD"/>
          </a:solidFill>
        </a:ln>
      </c:spPr>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5059</Characters>
  <Application>Microsoft Office Word</Application>
  <DocSecurity>0</DocSecurity>
  <Lines>42</Lines>
  <Paragraphs>11</Paragraphs>
  <ScaleCrop>false</ScaleCrop>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2026-04-30T17:38:00Z</dcterms:created>
  <dcterms:modified xsi:type="dcterms:W3CDTF">2026-04-30T17:38:00Z</dcterms:modified>
</cp:coreProperties>
</file>