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77A" w:rsidRPr="003B448B" w:rsidRDefault="00B1477A" w:rsidP="00B1477A">
      <w:pPr>
        <w:pStyle w:val="B25"/>
        <w:spacing w:before="180"/>
        <w:ind w:left="1401" w:hanging="1401"/>
        <w:rPr>
          <w:rFonts w:eastAsia="標楷體"/>
          <w:sz w:val="28"/>
        </w:rPr>
      </w:pPr>
      <w:bookmarkStart w:id="0" w:name="_Toc67866711"/>
      <w:bookmarkStart w:id="1" w:name="_Toc67871139"/>
      <w:bookmarkStart w:id="2" w:name="_GoBack"/>
      <w:r w:rsidRPr="003B448B">
        <w:rPr>
          <w:rFonts w:eastAsia="標楷體"/>
          <w:sz w:val="28"/>
        </w:rPr>
        <w:t>A study on the causal relationshi</w:t>
      </w:r>
      <w:r>
        <w:rPr>
          <w:rFonts w:eastAsia="標楷體"/>
          <w:sz w:val="28"/>
        </w:rPr>
        <w:t>p between risk perception, perceived</w:t>
      </w:r>
      <w:r w:rsidRPr="003B448B">
        <w:rPr>
          <w:rFonts w:eastAsia="標楷體"/>
          <w:sz w:val="28"/>
        </w:rPr>
        <w:t xml:space="preserve"> competence, self-efficacy and flow experience in marine recreational sports - a case study of Penghu</w:t>
      </w:r>
    </w:p>
    <w:p w:rsidR="00B1477A" w:rsidRPr="00DF7547" w:rsidRDefault="00B1477A" w:rsidP="00B1477A">
      <w:pPr>
        <w:pStyle w:val="B22"/>
        <w:widowControl w:val="0"/>
        <w:ind w:left="2296" w:hangingChars="883" w:hanging="2296"/>
        <w:rPr>
          <w:rFonts w:eastAsia="標楷體"/>
        </w:rPr>
      </w:pPr>
    </w:p>
    <w:bookmarkEnd w:id="2"/>
    <w:p w:rsidR="00B1477A" w:rsidRDefault="00B1477A" w:rsidP="00B1477A">
      <w:pPr>
        <w:pStyle w:val="B22"/>
        <w:widowControl w:val="0"/>
        <w:ind w:left="2392" w:hanging="2392"/>
        <w:jc w:val="right"/>
        <w:rPr>
          <w:rFonts w:eastAsia="標楷體"/>
        </w:rPr>
      </w:pPr>
      <w:r>
        <w:rPr>
          <w:rFonts w:eastAsia="標楷體"/>
        </w:rPr>
        <w:t>Wu</w:t>
      </w:r>
      <w:r>
        <w:rPr>
          <w:rFonts w:eastAsia="標楷體" w:hint="eastAsia"/>
        </w:rPr>
        <w:t xml:space="preserve">, </w:t>
      </w:r>
      <w:r>
        <w:rPr>
          <w:rFonts w:eastAsia="標楷體"/>
        </w:rPr>
        <w:t>Cheng-Lung</w:t>
      </w:r>
      <w:r w:rsidRPr="00B943B1">
        <w:rPr>
          <w:rFonts w:eastAsia="標楷體" w:hint="eastAsia"/>
          <w:vertAlign w:val="superscript"/>
        </w:rPr>
        <w:t>1</w:t>
      </w:r>
      <w:r>
        <w:rPr>
          <w:rFonts w:eastAsia="標楷體" w:hint="eastAsia"/>
        </w:rPr>
        <w:t xml:space="preserve">, </w:t>
      </w:r>
      <w:r w:rsidRPr="00DF7547">
        <w:rPr>
          <w:rFonts w:eastAsia="標楷體"/>
        </w:rPr>
        <w:t>Kao, Shao-Yuan</w:t>
      </w:r>
      <w:r w:rsidRPr="00B943B1">
        <w:rPr>
          <w:rFonts w:eastAsia="標楷體" w:hint="eastAsia"/>
          <w:vertAlign w:val="superscript"/>
        </w:rPr>
        <w:t>2</w:t>
      </w:r>
    </w:p>
    <w:p w:rsidR="00B1477A" w:rsidRDefault="00B1477A" w:rsidP="00B1477A">
      <w:pPr>
        <w:pStyle w:val="B22"/>
        <w:widowControl w:val="0"/>
        <w:ind w:left="2392" w:hanging="2392"/>
        <w:jc w:val="right"/>
        <w:rPr>
          <w:rFonts w:eastAsia="標楷體"/>
        </w:rPr>
      </w:pPr>
      <w:r w:rsidRPr="00B943B1">
        <w:rPr>
          <w:rFonts w:eastAsia="標楷體" w:hint="eastAsia"/>
          <w:vertAlign w:val="superscript"/>
        </w:rPr>
        <w:t>1</w:t>
      </w:r>
      <w:r w:rsidRPr="00DF7547">
        <w:rPr>
          <w:rFonts w:eastAsia="標楷體"/>
        </w:rPr>
        <w:t xml:space="preserve">Department of </w:t>
      </w:r>
      <w:r>
        <w:rPr>
          <w:rFonts w:eastAsia="標楷體"/>
        </w:rPr>
        <w:t xml:space="preserve">Marine Recreation, </w:t>
      </w:r>
      <w:r w:rsidRPr="00DF7547">
        <w:rPr>
          <w:rFonts w:eastAsia="標楷體"/>
        </w:rPr>
        <w:t>National Penghu University of Science and Technology</w:t>
      </w:r>
    </w:p>
    <w:p w:rsidR="00B1477A" w:rsidRDefault="00B1477A" w:rsidP="00B1477A">
      <w:pPr>
        <w:pStyle w:val="B22"/>
        <w:widowControl w:val="0"/>
        <w:ind w:left="2392" w:hanging="2392"/>
        <w:jc w:val="right"/>
        <w:rPr>
          <w:rFonts w:eastAsia="標楷體"/>
        </w:rPr>
      </w:pPr>
      <w:r>
        <w:rPr>
          <w:rFonts w:eastAsia="標楷體" w:hint="eastAsia"/>
          <w:vertAlign w:val="superscript"/>
        </w:rPr>
        <w:t>2</w:t>
      </w:r>
      <w:r w:rsidRPr="00DF7547">
        <w:rPr>
          <w:rFonts w:eastAsia="標楷體"/>
        </w:rPr>
        <w:t xml:space="preserve">Department of </w:t>
      </w:r>
      <w:r>
        <w:rPr>
          <w:rFonts w:eastAsia="標楷體" w:hint="eastAsia"/>
        </w:rPr>
        <w:t>Marine Recreation</w:t>
      </w:r>
      <w:r w:rsidRPr="00DF7547">
        <w:rPr>
          <w:rFonts w:eastAsia="標楷體"/>
        </w:rPr>
        <w:t>, National Penghu University of Science and Technology</w:t>
      </w:r>
    </w:p>
    <w:p w:rsidR="00B1477A" w:rsidRPr="00DF7547" w:rsidRDefault="00B1477A" w:rsidP="00B1477A">
      <w:pPr>
        <w:pStyle w:val="B23"/>
        <w:spacing w:beforeLines="50" w:before="180" w:afterLines="50" w:after="180"/>
        <w:rPr>
          <w:rFonts w:eastAsia="標楷體"/>
        </w:rPr>
      </w:pPr>
      <w:r w:rsidRPr="00DF7547">
        <w:rPr>
          <w:rFonts w:eastAsia="標楷體"/>
        </w:rPr>
        <w:t>Abstract</w:t>
      </w:r>
    </w:p>
    <w:p w:rsidR="00B1477A" w:rsidRPr="00464E29" w:rsidRDefault="00B1477A" w:rsidP="00B1477A">
      <w:pPr>
        <w:pStyle w:val="B24"/>
        <w:ind w:firstLine="416"/>
        <w:rPr>
          <w:rFonts w:eastAsia="標楷體"/>
        </w:rPr>
      </w:pPr>
      <w:r w:rsidRPr="00464E29">
        <w:rPr>
          <w:rFonts w:eastAsia="標楷體"/>
        </w:rPr>
        <w:t>With the promotion of the "Salute to the Sea" policy and the qualitative shift towards specialized tourism, the marine leisure industry’s demand for professional talent has evolved from general services to psychological guidance and risk management. This study investigates the psychological processes of marine leisure sport participants, specifically examining the causal effects of perceived risk, perceived competence, and self-efficacy on flow experience and experiential value. Using a convenience sampling method, data were collected from 594 tourists participating in marine leisure activities in Penghu, Taiwan. The data were analyzed using Structural Equation Modeling (SEM). The results indicate that: (1) the participant demographic is characterized by young, highly educated individuals with stable incomes; (2) perceived risk exerts a significant positive influence on perceived competence and self-efficacy, suggesting that controlled risk perception can be transformed into a driver for ability enhancement; (3) perceived competence and self-efficacy are significant positive predictors of flow experience; and (4) flow experience and experiential value play critical mediating roles in the model, confirming that psychological antecedents must be transformed through immersion to enhance perceived value. Based on these findings, the study proposes managerial implications regarding "reverse competency definition," emphasizing that risk communication, skill instruction, and psychological empowerment should be core indicators for future talent cultivation in the marine leisure industry.</w:t>
      </w:r>
    </w:p>
    <w:p w:rsidR="00B1477A" w:rsidRDefault="00B1477A" w:rsidP="008E4524">
      <w:pPr>
        <w:pStyle w:val="B24"/>
        <w:ind w:left="1275" w:hangingChars="490" w:hanging="1275"/>
      </w:pPr>
      <w:r w:rsidRPr="00464E29">
        <w:rPr>
          <w:rFonts w:eastAsia="標楷體"/>
          <w:b/>
        </w:rPr>
        <w:t>Keywords: Marine Leisure Sports, Perceived Risk, Perceived Competence, Self-Efficacy, Flow Experience</w:t>
      </w:r>
      <w:bookmarkStart w:id="3" w:name="_Toc67866714"/>
      <w:bookmarkStart w:id="4" w:name="_Toc67871142"/>
      <w:bookmarkStart w:id="5" w:name="_Toc68768191"/>
      <w:bookmarkEnd w:id="0"/>
      <w:bookmarkEnd w:id="1"/>
    </w:p>
    <w:tbl>
      <w:tblPr>
        <w:tblStyle w:val="a7"/>
        <w:tblW w:w="0" w:type="auto"/>
        <w:tblLook w:val="04A0" w:firstRow="1" w:lastRow="0" w:firstColumn="1" w:lastColumn="0" w:noHBand="0" w:noVBand="1"/>
      </w:tblPr>
      <w:tblGrid>
        <w:gridCol w:w="8188"/>
      </w:tblGrid>
      <w:tr w:rsidR="00B1477A" w:rsidTr="000B0CC7">
        <w:tc>
          <w:tcPr>
            <w:tcW w:w="8188" w:type="dxa"/>
            <w:tcBorders>
              <w:top w:val="single" w:sz="12" w:space="0" w:color="auto"/>
              <w:left w:val="nil"/>
              <w:bottom w:val="nil"/>
              <w:right w:val="nil"/>
            </w:tcBorders>
          </w:tcPr>
          <w:p w:rsidR="00B1477A" w:rsidRPr="004D0F18" w:rsidRDefault="00B1477A" w:rsidP="000B0CC7">
            <w:pPr>
              <w:pStyle w:val="B24"/>
              <w:ind w:firstLineChars="0" w:firstLine="0"/>
              <w:jc w:val="left"/>
              <w:rPr>
                <w:i/>
                <w:iCs/>
              </w:rPr>
            </w:pPr>
            <w:r w:rsidRPr="004D0F18">
              <w:rPr>
                <w:rFonts w:hint="eastAsia"/>
                <w:i/>
                <w:iCs/>
              </w:rPr>
              <w:t xml:space="preserve">Corresponding Author: </w:t>
            </w:r>
            <w:r w:rsidRPr="004D0F18">
              <w:rPr>
                <w:rFonts w:eastAsia="標楷體"/>
                <w:i/>
                <w:iCs/>
              </w:rPr>
              <w:t>Kao, Shao-Yuan</w:t>
            </w:r>
            <w:r w:rsidRPr="004D0F18">
              <w:rPr>
                <w:rFonts w:eastAsia="標楷體" w:hint="eastAsia"/>
                <w:i/>
                <w:iCs/>
              </w:rPr>
              <w:t>,</w:t>
            </w:r>
            <w:r w:rsidRPr="004D0F18">
              <w:rPr>
                <w:rFonts w:eastAsia="標楷體"/>
                <w:i/>
                <w:iCs/>
              </w:rPr>
              <w:t xml:space="preserve"> Department of </w:t>
            </w:r>
            <w:r>
              <w:rPr>
                <w:rFonts w:eastAsia="標楷體" w:hint="eastAsia"/>
                <w:i/>
                <w:iCs/>
              </w:rPr>
              <w:t>Marine Recreation</w:t>
            </w:r>
            <w:r w:rsidRPr="004D0F18">
              <w:rPr>
                <w:rFonts w:eastAsia="標楷體"/>
                <w:i/>
                <w:iCs/>
              </w:rPr>
              <w:t>, National Penghu University of Science and Technology</w:t>
            </w:r>
            <w:r w:rsidRPr="004D0F18">
              <w:rPr>
                <w:rFonts w:eastAsia="標楷體" w:hint="eastAsia"/>
                <w:i/>
                <w:iCs/>
              </w:rPr>
              <w:t>.</w:t>
            </w:r>
          </w:p>
        </w:tc>
      </w:tr>
      <w:tr w:rsidR="00B1477A" w:rsidTr="000B0CC7">
        <w:tc>
          <w:tcPr>
            <w:tcW w:w="8188" w:type="dxa"/>
            <w:tcBorders>
              <w:top w:val="nil"/>
              <w:left w:val="nil"/>
              <w:bottom w:val="nil"/>
              <w:right w:val="nil"/>
            </w:tcBorders>
          </w:tcPr>
          <w:p w:rsidR="00B1477A" w:rsidRPr="004D0F18" w:rsidRDefault="00B1477A" w:rsidP="000B0CC7">
            <w:pPr>
              <w:pStyle w:val="B24"/>
              <w:ind w:firstLineChars="0" w:firstLine="0"/>
              <w:jc w:val="left"/>
              <w:rPr>
                <w:i/>
                <w:iCs/>
              </w:rPr>
            </w:pPr>
            <w:r w:rsidRPr="004D0F18">
              <w:rPr>
                <w:rFonts w:hint="eastAsia"/>
                <w:i/>
                <w:iCs/>
              </w:rPr>
              <w:t xml:space="preserve">Email: </w:t>
            </w:r>
            <w:hyperlink r:id="rId6" w:history="1">
              <w:r w:rsidRPr="00085BDD">
                <w:rPr>
                  <w:rFonts w:eastAsia="標楷體" w:hint="eastAsia"/>
                  <w:i/>
                  <w:iCs/>
                </w:rPr>
                <w:t>s</w:t>
              </w:r>
              <w:r w:rsidRPr="00085BDD">
                <w:rPr>
                  <w:rFonts w:eastAsia="標楷體"/>
                  <w:i/>
                  <w:iCs/>
                </w:rPr>
                <w:t>hao@gms.npu.edu.tw</w:t>
              </w:r>
            </w:hyperlink>
            <w:r w:rsidRPr="00085BDD">
              <w:rPr>
                <w:rFonts w:eastAsia="標楷體" w:hint="eastAsia"/>
                <w:i/>
                <w:iCs/>
              </w:rPr>
              <w:t>,</w:t>
            </w:r>
            <w:r>
              <w:rPr>
                <w:rFonts w:eastAsia="標楷體" w:hint="eastAsia"/>
                <w:i/>
                <w:iCs/>
              </w:rPr>
              <w:t xml:space="preserve"> </w:t>
            </w:r>
            <w:r w:rsidRPr="004D0F18">
              <w:rPr>
                <w:rFonts w:eastAsia="標楷體" w:hint="eastAsia"/>
                <w:i/>
                <w:iCs/>
              </w:rPr>
              <w:t>Taiwan</w:t>
            </w:r>
            <w:r>
              <w:rPr>
                <w:rFonts w:eastAsia="標楷體" w:hint="eastAsia"/>
                <w:i/>
                <w:iCs/>
              </w:rPr>
              <w:t>.</w:t>
            </w:r>
          </w:p>
        </w:tc>
      </w:tr>
    </w:tbl>
    <w:p w:rsidR="00B1477A" w:rsidRPr="00FB48DC" w:rsidRDefault="00B1477A" w:rsidP="00B1477A">
      <w:pPr>
        <w:rPr>
          <w:rFonts w:cs="Times New Roman"/>
          <w:b/>
          <w:color w:val="000000" w:themeColor="text1"/>
          <w:sz w:val="36"/>
          <w:szCs w:val="40"/>
        </w:rPr>
        <w:sectPr w:rsidR="00B1477A" w:rsidRPr="00FB48DC" w:rsidSect="005028F9">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701" w:header="851" w:footer="851" w:gutter="567"/>
          <w:pgNumType w:fmt="lowerRoman" w:start="1"/>
          <w:cols w:space="425"/>
          <w:docGrid w:type="linesAndChars" w:linePitch="360"/>
        </w:sectPr>
      </w:pPr>
    </w:p>
    <w:bookmarkEnd w:id="3"/>
    <w:bookmarkEnd w:id="4"/>
    <w:bookmarkEnd w:id="5"/>
    <w:p w:rsidR="00B1477A" w:rsidRPr="00F70A0F" w:rsidRDefault="00B1477A" w:rsidP="00B1477A">
      <w:pPr>
        <w:pStyle w:val="B23"/>
        <w:spacing w:before="360" w:after="360"/>
      </w:pPr>
      <w:r w:rsidRPr="00F70A0F">
        <w:lastRenderedPageBreak/>
        <w:t>INTRODUCTION</w:t>
      </w:r>
    </w:p>
    <w:p w:rsidR="00B1477A" w:rsidRPr="00F70A0F" w:rsidRDefault="00B1477A" w:rsidP="00B1477A">
      <w:pPr>
        <w:pStyle w:val="B24"/>
        <w:ind w:firstLine="416"/>
      </w:pPr>
      <w:r w:rsidRPr="00F70A0F">
        <w:t>Driven by the 2020 "Salute to the Sea" policy, Taiwan’s marine sports industry is shifting toward "depth" and "professionalism." Tourist demand has evolved from shallow entertainment to immersive experiences focused on skill acquisition. However, the industry faces a structural challenge: inconsistent talent cultivation standards. Traditional recruitment, which relies heavily on academic degrees, fails to address modern workplace needs for specialized technical skills, risk judgment, and psychological guidance. Establishing a talent system that aligns with tourist cognitive needs is now the core driver for industrial upgrading.</w:t>
      </w:r>
    </w:p>
    <w:p w:rsidR="00B1477A" w:rsidRPr="00F70A0F" w:rsidRDefault="00B1477A" w:rsidP="00B1477A">
      <w:pPr>
        <w:pStyle w:val="B24"/>
        <w:ind w:firstLine="416"/>
      </w:pPr>
      <w:r w:rsidRPr="00F70A0F">
        <w:t>The Penghu Archipelago, with its unique basalt geology and strong monsoons, serves as a natural arena for marine sports. While annual visits exceed 600,000, academic research remains clustered around main-island attractions. There is a critical lack of study on the "islands of islands"—remote islets characterized by high isolation and environmental volatility. Currently, no comprehensive psychological model explains how tourists transform behavioral decisions and perceptions in these risky environments (Wang, 2006). This gap leaves industry training without a scientific basis, creating a disconnect between service supply and tourist demand.</w:t>
      </w:r>
    </w:p>
    <w:p w:rsidR="00B1477A" w:rsidRPr="00F70A0F" w:rsidRDefault="00B1477A" w:rsidP="00B1477A">
      <w:pPr>
        <w:pStyle w:val="B24"/>
        <w:ind w:firstLine="416"/>
      </w:pPr>
      <w:r w:rsidRPr="00F70A0F">
        <w:t>This study deconstructs the marine leisure experience into a continuous psychological process: 1.Risk Perception Mitigation: Marine environments are inherently unstable. Effective risk communication converts a participant’s blind anxiety into rational caution, setting the stage for engagement. 2.Perceived Competence Assessment: Based on Self-Determination Theory (SDT), an individual’s sense of mastery over the environment is the psychological cornerstone of participation. 3.Self-Efficacy Belief: Per Bandura’s definition, this represents the belief in one's success when facing sudden difficulties (e.g., waves). It determines psychological resilience and proactive momentum. 4.Flow Experience Induction: When skills and challenges reach a dynamic balance, the individual enters a state of total immersion (Csikszentmihalyi, 1990), which serves as the primary predictor of revisit intention.</w:t>
      </w:r>
    </w:p>
    <w:p w:rsidR="00B1477A" w:rsidRPr="00F70A0F" w:rsidRDefault="00B1477A" w:rsidP="00B1477A">
      <w:pPr>
        <w:pStyle w:val="B24"/>
        <w:ind w:firstLine="416"/>
      </w:pPr>
      <w:r w:rsidRPr="00F70A0F">
        <w:t xml:space="preserve">The objective of this study is to construct a psychological causal model for marine sports and propose a "Reverse Competency Definition." By deconstructing the psychological mechanisms of tourists in island environments, this study precisely defines four core competencies for future professionals: Risk Communication, Skill Instruction, Psychological Empowerment, and Situational </w:t>
      </w:r>
      <w:r w:rsidRPr="00F70A0F">
        <w:lastRenderedPageBreak/>
        <w:t>Guidance. This framework provides a scientific standard for talent training and facilitates the industry’s transition toward high-quality, professional service models.</w:t>
      </w:r>
    </w:p>
    <w:p w:rsidR="00B1477A" w:rsidRPr="007600A2" w:rsidRDefault="00B1477A" w:rsidP="00B1477A">
      <w:pPr>
        <w:pStyle w:val="B23"/>
        <w:spacing w:before="360" w:after="360"/>
      </w:pPr>
      <w:r w:rsidRPr="007600A2">
        <w:t>L</w:t>
      </w:r>
      <w:r w:rsidR="00C52C6B">
        <w:t>ITERATURE REVIEW</w:t>
      </w:r>
    </w:p>
    <w:p w:rsidR="00B1477A" w:rsidRPr="007600A2" w:rsidRDefault="00B1477A" w:rsidP="00B1477A">
      <w:pPr>
        <w:pStyle w:val="B24"/>
        <w:ind w:firstLineChars="200" w:firstLine="521"/>
        <w:rPr>
          <w:rFonts w:eastAsia="標楷體"/>
        </w:rPr>
      </w:pPr>
      <w:r w:rsidRPr="007600A2">
        <w:rPr>
          <w:rFonts w:eastAsia="標楷體"/>
          <w:b/>
        </w:rPr>
        <w:t xml:space="preserve">Risk Perception and Mitigation Mechanisms: </w:t>
      </w:r>
      <w:r w:rsidRPr="007600A2">
        <w:rPr>
          <w:rFonts w:eastAsia="標楷體"/>
        </w:rPr>
        <w:t>Risk perception is the subjective assessment of potential threats in a specific environment, such as physical injury or equipment failure. While early research viewed risk as a negative barrier, modern risk theory (Couturier et al., 2022) suggests that adventure tourists seek a "balance between safety and challenge." Risk becomes an attraction when framed as a "manageable challenge." Recent studies (Hajibaba et al., 2021) show that risk can be "mitigated" through professional intervention. By providing transparent information and expert guidance, instructors create a "sense of risk controllability," transforming initial anxiety into alert, proactive participation.</w:t>
      </w:r>
    </w:p>
    <w:p w:rsidR="00B1477A" w:rsidRPr="007600A2" w:rsidRDefault="00B1477A" w:rsidP="00B1477A">
      <w:pPr>
        <w:pStyle w:val="B24"/>
        <w:ind w:firstLineChars="200" w:firstLine="521"/>
        <w:rPr>
          <w:rFonts w:eastAsia="標楷體"/>
        </w:rPr>
      </w:pPr>
      <w:r w:rsidRPr="007600A2">
        <w:rPr>
          <w:rFonts w:eastAsia="標楷體"/>
          <w:b/>
        </w:rPr>
        <w:t>Perceived Competence and Self-Determination Theory (SDT):</w:t>
      </w:r>
      <w:r w:rsidRPr="007600A2">
        <w:rPr>
          <w:rFonts w:eastAsia="標楷體"/>
        </w:rPr>
        <w:t xml:space="preserve"> Perceived competence is the degree to which an individual feels capable of mastering tasks and meeting challenges. Rooted in Self-Determination Theory (SDT), it is one of the three basic psychological needs. In marine sports, it functions as "psychological empowerment" (Wang et al., 2019). When instructors utilize scaffolding—breaking down complex skills like paddling or sail control—participants gain technical proficiency. This heightened competence strengthens their sense of belonging and intrinsic motivation, turning one-time tourists into long-term enthusiasts.</w:t>
      </w:r>
    </w:p>
    <w:p w:rsidR="00B1477A" w:rsidRPr="007600A2" w:rsidRDefault="00B1477A" w:rsidP="00B1477A">
      <w:pPr>
        <w:pStyle w:val="B24"/>
        <w:ind w:firstLineChars="200" w:firstLine="521"/>
        <w:rPr>
          <w:rFonts w:eastAsia="標楷體"/>
        </w:rPr>
      </w:pPr>
      <w:r w:rsidRPr="007600A2">
        <w:rPr>
          <w:rFonts w:eastAsia="標楷體"/>
          <w:b/>
        </w:rPr>
        <w:t xml:space="preserve">Self-Efficacy and Psychological Resilience: </w:t>
      </w:r>
      <w:r w:rsidRPr="007600A2">
        <w:rPr>
          <w:rFonts w:eastAsia="標楷體"/>
        </w:rPr>
        <w:t>Self-efficacy is the specific belief in one's ability to execute actions required to manage prospective situations (Bandura, 1986). In marine environments, it serves as a primary indicator of psychological resilience against stressors like sudden swells or fatigue (Schöbel et al., 2021). High self-efficacy maintains emotional stability and prevents panic-driven behaviors. Sources of efficacy—such as mastery experiences and verbal persuasion from coaches—are vital for shifting a participant’s psychological state from self-defense to proactive momentum.</w:t>
      </w:r>
    </w:p>
    <w:p w:rsidR="00B1477A" w:rsidRPr="007600A2" w:rsidRDefault="00B1477A" w:rsidP="00B1477A">
      <w:pPr>
        <w:pStyle w:val="B24"/>
        <w:ind w:firstLineChars="200" w:firstLine="521"/>
        <w:rPr>
          <w:rFonts w:eastAsia="標楷體"/>
        </w:rPr>
      </w:pPr>
      <w:r w:rsidRPr="007600A2">
        <w:rPr>
          <w:rFonts w:eastAsia="標楷體"/>
          <w:b/>
        </w:rPr>
        <w:t>Flow Experience and the Induction of Peak States:</w:t>
      </w:r>
      <w:r w:rsidRPr="007600A2">
        <w:rPr>
          <w:rFonts w:eastAsia="標楷體"/>
        </w:rPr>
        <w:t xml:space="preserve"> Flow is a state of total immersion characterized by a loss of self-consciousness and time awareness. According to Flow Theory (Csikszentmihalyi, 1990), flow occurs when there is a dynamic balance between "Activity Challenge" and "Individual Skill." Marine environments, offering immediate feedback and high sensory stimulation, are </w:t>
      </w:r>
      <w:r w:rsidRPr="007600A2">
        <w:rPr>
          <w:rFonts w:eastAsia="標楷體"/>
        </w:rPr>
        <w:lastRenderedPageBreak/>
        <w:t>optimal for inducing flow. Achieving this state is the strongest predictor of brand loyalty and word-of-mouth recommendation.</w:t>
      </w:r>
    </w:p>
    <w:p w:rsidR="00B1477A" w:rsidRPr="007600A2" w:rsidRDefault="00B1477A" w:rsidP="00B1477A">
      <w:pPr>
        <w:pStyle w:val="B24"/>
        <w:ind w:firstLineChars="200" w:firstLine="521"/>
        <w:rPr>
          <w:rFonts w:eastAsia="標楷體"/>
        </w:rPr>
      </w:pPr>
      <w:r w:rsidRPr="007600A2">
        <w:rPr>
          <w:rFonts w:eastAsia="標楷體"/>
          <w:b/>
        </w:rPr>
        <w:t>Integration of Causal Relationships:</w:t>
      </w:r>
      <w:r w:rsidRPr="007600A2">
        <w:rPr>
          <w:rFonts w:eastAsia="標楷體"/>
        </w:rPr>
        <w:t xml:space="preserve"> this study posits that flow does not occur in isolation but is built upon a sequential foundation of risk mastery and competence assessment: Risk as a Regulator: Controlled risk provides necessary tension; flow is induced only after professional mitigation reduces excessive anxiety (Houge Mackenzie &amp; Brymer, 2020). Competence as the Foundation: Perceived competence mediates the relationship between challenge and flow. Participants must perceive themselves as "capable" before they can safely "let go" into a state of immersion. Efficacy as the Driver: Self-Efficacy is the core momentum that bridges "technical mastery" and "mental flow," granting participants the focus and persistence needed to sustain a peak state.</w:t>
      </w:r>
    </w:p>
    <w:p w:rsidR="00B1477A" w:rsidRPr="00107AD6" w:rsidRDefault="00B1477A" w:rsidP="00B1477A">
      <w:pPr>
        <w:pStyle w:val="B23"/>
        <w:spacing w:before="360" w:after="360"/>
      </w:pPr>
      <w:r w:rsidRPr="00107AD6">
        <w:t>RESEARCH METHODOLOGY</w:t>
      </w:r>
    </w:p>
    <w:p w:rsidR="00B1477A" w:rsidRPr="00107AD6" w:rsidRDefault="00B1477A" w:rsidP="00B1477A">
      <w:pPr>
        <w:pStyle w:val="D31-1"/>
        <w:spacing w:before="180"/>
      </w:pPr>
      <w:r w:rsidRPr="00107AD6">
        <w:t>Research Hypothesis and Theoretical Framework</w:t>
      </w:r>
    </w:p>
    <w:p w:rsidR="00B1477A" w:rsidRPr="00107AD6" w:rsidRDefault="00B1477A" w:rsidP="00B1477A">
      <w:pPr>
        <w:pStyle w:val="B24"/>
        <w:ind w:firstLine="416"/>
      </w:pPr>
      <w:r w:rsidRPr="00107AD6">
        <w:t>Previous studies in tourism psychology and consumer behavior have consistently demonstrated that individuals' psychological perceptions play a pivotal role in shaping their evaluation of experiential value. In the context of marine sports, participants face environmental uncertainties where effective risk management (perceived risk), technical mastery (perceived competence), and behavioral beliefs (self-efficacy) act as critical antecedents that induce the peak psychological state o</w:t>
      </w:r>
      <w:r>
        <w:t xml:space="preserve">f flow experience (Ding et al., </w:t>
      </w:r>
      <w:r w:rsidRPr="00107AD6">
        <w:t>2021).</w:t>
      </w:r>
      <w:r>
        <w:t xml:space="preserve"> </w:t>
      </w:r>
      <w:r w:rsidRPr="00107AD6">
        <w:t>Flow experience is widely recognized as a crucial precursor to experiential value in tourism research. When tourists achieve a state of immersion characterized by a balance between their skills and the activity's challenges, their positive evaluation of the activity's quality and value significantly increases (Zhu &amp; Liu, 2024). Based on these theoretical foundations, this study proposes the following hypotheses:</w:t>
      </w:r>
    </w:p>
    <w:p w:rsidR="00B1477A" w:rsidRPr="00107AD6" w:rsidRDefault="00B1477A" w:rsidP="00B1477A">
      <w:pPr>
        <w:pStyle w:val="B24"/>
        <w:ind w:firstLine="416"/>
      </w:pPr>
      <w:r w:rsidRPr="00107AD6">
        <w:t>H1: Perceived risk, perceived competence, and self-efficacy positively influence flow experience.</w:t>
      </w:r>
    </w:p>
    <w:p w:rsidR="00B1477A" w:rsidRPr="00107AD6" w:rsidRDefault="00B1477A" w:rsidP="00B1477A">
      <w:pPr>
        <w:pStyle w:val="B24"/>
        <w:ind w:firstLine="416"/>
      </w:pPr>
      <w:r w:rsidRPr="00107AD6">
        <w:t>H2: Flow experience positively influences experiential value.</w:t>
      </w:r>
    </w:p>
    <w:p w:rsidR="00B1477A" w:rsidRPr="00107AD6" w:rsidRDefault="00B1477A" w:rsidP="00B1477A">
      <w:pPr>
        <w:pStyle w:val="B24"/>
        <w:ind w:firstLine="416"/>
        <w:rPr>
          <w:rFonts w:eastAsiaTheme="minorEastAsia"/>
        </w:rPr>
      </w:pPr>
      <w:r w:rsidRPr="00107AD6">
        <w:t>H3: Flow experience mediates the relationship between psychological antecedent variables and experiential value.</w:t>
      </w:r>
    </w:p>
    <w:p w:rsidR="00B1477A" w:rsidRPr="003602E4" w:rsidRDefault="00B1477A" w:rsidP="00B1477A">
      <w:pPr>
        <w:pStyle w:val="B24"/>
        <w:spacing w:beforeLines="50" w:before="180"/>
        <w:ind w:firstLineChars="0" w:firstLine="0"/>
        <w:rPr>
          <w:sz w:val="28"/>
        </w:rPr>
      </w:pPr>
      <w:r w:rsidRPr="003602E4">
        <w:rPr>
          <w:b/>
          <w:sz w:val="28"/>
        </w:rPr>
        <w:t>Sample Design and Data Collection</w:t>
      </w:r>
    </w:p>
    <w:p w:rsidR="00B1477A" w:rsidRPr="00107AD6" w:rsidRDefault="00B1477A" w:rsidP="00B1477A">
      <w:pPr>
        <w:pStyle w:val="B24"/>
        <w:ind w:firstLine="416"/>
      </w:pPr>
      <w:r>
        <w:t>T</w:t>
      </w:r>
      <w:r w:rsidRPr="00107AD6">
        <w:t xml:space="preserve">his study employed a questionnaire survey method to examine the psychological processes of tourists participating in marine leisure activities (e.g., diving, SUP, windsurfing) in Penghu. The unique marine conditions and the </w:t>
      </w:r>
      <w:r w:rsidRPr="00107AD6">
        <w:lastRenderedPageBreak/>
        <w:t xml:space="preserve">isolation of island tourism in Penghu provide an ideal setting for testing adventure-based psychological models. Data collection was conducted between June and August 2022, coinciding with the peak tourism season in Penghu. A convenience sampling technique was adopted, with researchers stationed at major water activity hubs and collaborating with local operators. This approach allowed for the immediate collection of tourists' psychological perceptions following the completion of their activities. A total of 600 questionnaires were distributed; after excluding incomplete or patterned responses, 594 valid samples were obtained, yielding an effective response rate of 99%. This substantial sample size (N &gt; 500) provides a robust foundation for Structural Equation Modeling (SEM) analysis. Measurement Instruments and Reliability. The research instrument was developed based on established scales and adapted for the marine sports context. All items utilized a five-point Likert scale. Psychological Antecedents: This scale integrated Bauer’s (1960) perceived risk, White’s (1959) perceived competence, and Bandura’s (1986) self-efficacy. Flow Experience: Based on Csikszentmihalyi’s (1990) framework and Mainieri &amp; Knott’s (2023) interpretation of the challenge-skill balance in aquatic settings, this scale measured immersion and loss of time awareness. To ensure the reliability and validity of the measurements, item analysis and Exploratory Factor Analysis (EFA) were conducted. The results indicated excellent item discrimination (t-values ranging from 17.004 to 32.961) and strong item-total correlations (r = 0.705 to 0.907). The overall internal consistency was exceptionally high (Cronbach’s alpha = 0.973), and the KMO value of 0.912 confirmed that the data were highly suitable for factor analysis. </w:t>
      </w:r>
    </w:p>
    <w:p w:rsidR="00B1477A" w:rsidRPr="00107AD6" w:rsidRDefault="00B1477A" w:rsidP="00B1477A">
      <w:pPr>
        <w:pStyle w:val="B24"/>
        <w:ind w:firstLineChars="0" w:firstLine="0"/>
        <w:rPr>
          <w:b/>
        </w:rPr>
      </w:pPr>
      <w:r w:rsidRPr="00107AD6">
        <w:rPr>
          <w:b/>
        </w:rPr>
        <w:t>Data Analysis Methods</w:t>
      </w:r>
    </w:p>
    <w:p w:rsidR="00B1477A" w:rsidRDefault="00B1477A" w:rsidP="00B1477A">
      <w:pPr>
        <w:pStyle w:val="B24"/>
        <w:ind w:firstLine="416"/>
        <w:rPr>
          <w:color w:val="FF0000"/>
        </w:rPr>
      </w:pPr>
      <w:r w:rsidRPr="00107AD6">
        <w:t>This study utilized a two-step SEM approach to test the hypothesized causal relationships, employing IBM SPSS 23 and AMOS 23: Measurement Model Analysis: Confirmatory Factor Analysis (CFA) was conducted to evaluate the reliability and validity of the latent constructs. Key indicators included Composite Reliability (CR &gt; 0.7) and Average Variance Extracted (AVE &gt; 0.5) to ensure convergent validity. Structural Model Analysis: Path Analysis: Maximum Likelihood (ML) estimation was used to test the standardized path coefficients (beta) and confirm the causal directions between the variables. Mediation Analysis: A Bootstrapping procedure (5,000 resamples) was performed. The Bias-Corrected (BC) and Percentile (PC) confidence intervals were used to test the mediating role of flow experience (H3).Goodness-of-Fit: Multiple indices (chi^2/df, RMSEA, CFI, GFI) were employed to assess the alignment between the theoretical model and the empirical data.</w:t>
      </w:r>
    </w:p>
    <w:p w:rsidR="00B1477A" w:rsidRDefault="00B1477A" w:rsidP="00B1477A">
      <w:pPr>
        <w:pStyle w:val="B23"/>
        <w:spacing w:before="360" w:after="360"/>
      </w:pPr>
      <w:bookmarkStart w:id="6" w:name="_Toc67871159"/>
      <w:bookmarkStart w:id="7" w:name="_Toc68768208"/>
      <w:bookmarkStart w:id="8" w:name="_Toc70532182"/>
      <w:bookmarkStart w:id="9" w:name="_Toc70532380"/>
      <w:bookmarkStart w:id="10" w:name="_Toc130125017"/>
      <w:bookmarkStart w:id="11" w:name="_Toc130125153"/>
      <w:bookmarkStart w:id="12" w:name="_Toc151036147"/>
      <w:r w:rsidRPr="00C375E3">
        <w:lastRenderedPageBreak/>
        <w:t>RESULTS</w:t>
      </w:r>
    </w:p>
    <w:bookmarkEnd w:id="6"/>
    <w:bookmarkEnd w:id="7"/>
    <w:bookmarkEnd w:id="8"/>
    <w:bookmarkEnd w:id="9"/>
    <w:bookmarkEnd w:id="10"/>
    <w:bookmarkEnd w:id="11"/>
    <w:bookmarkEnd w:id="12"/>
    <w:p w:rsidR="00B1477A" w:rsidRPr="00B1477A" w:rsidRDefault="00B1477A" w:rsidP="00B1477A">
      <w:pPr>
        <w:spacing w:line="360" w:lineRule="exact"/>
        <w:rPr>
          <w:rFonts w:ascii="Times New Roman" w:hAnsi="Times New Roman" w:cs="Times New Roman"/>
          <w:b/>
          <w:sz w:val="26"/>
          <w:szCs w:val="26"/>
        </w:rPr>
      </w:pPr>
      <w:r w:rsidRPr="00B1477A">
        <w:rPr>
          <w:rFonts w:ascii="Times New Roman" w:hAnsi="Times New Roman" w:cs="Times New Roman"/>
          <w:b/>
          <w:sz w:val="26"/>
          <w:szCs w:val="26"/>
        </w:rPr>
        <w:t>Demographic Profile of Respondents</w:t>
      </w:r>
    </w:p>
    <w:p w:rsidR="00B1477A" w:rsidRDefault="00B1477A" w:rsidP="00B1477A">
      <w:pPr>
        <w:spacing w:line="360" w:lineRule="exact"/>
        <w:rPr>
          <w:rFonts w:ascii="Times New Roman" w:hAnsi="Times New Roman" w:cs="Times New Roman"/>
          <w:sz w:val="26"/>
          <w:szCs w:val="26"/>
        </w:rPr>
      </w:pPr>
      <w:r w:rsidRPr="00B1477A">
        <w:rPr>
          <w:rFonts w:ascii="Times New Roman" w:hAnsi="Times New Roman" w:cs="Times New Roman"/>
          <w:sz w:val="26"/>
          <w:szCs w:val="26"/>
        </w:rPr>
        <w:t>The gender distribution was relatively balanced (Males: 51.9%, Females: 48.1%). The age distribution was predominantly young, with those aged 18–35 accounting for 77.8% of the sample. In terms of education, 46.6% held a bachelor’s degree. Geographically, respondents primarily resided in Central (33.8%) and Northern (33%) Taiwan. Economically, 44.6% earned a monthly income between 30,001 and 60,000 TWD.</w:t>
      </w:r>
    </w:p>
    <w:p w:rsidR="00B1477A" w:rsidRDefault="00B1477A" w:rsidP="00B1477A">
      <w:pPr>
        <w:spacing w:line="360" w:lineRule="exact"/>
        <w:rPr>
          <w:rFonts w:ascii="Times New Roman" w:hAnsi="Times New Roman" w:cs="Times New Roman"/>
          <w:sz w:val="26"/>
          <w:szCs w:val="26"/>
        </w:rPr>
      </w:pPr>
    </w:p>
    <w:p w:rsidR="00B1477A" w:rsidRPr="00B1477A" w:rsidRDefault="00B1477A" w:rsidP="00B1477A">
      <w:pPr>
        <w:spacing w:before="120" w:line="120" w:lineRule="exact"/>
        <w:rPr>
          <w:rFonts w:ascii="Times New Roman" w:hAnsi="Times New Roman" w:cs="Times New Roman"/>
        </w:rPr>
      </w:pPr>
      <w:r w:rsidRPr="00B1477A">
        <w:rPr>
          <w:rFonts w:ascii="Times New Roman" w:hAnsi="Times New Roman" w:cs="Times New Roman"/>
        </w:rPr>
        <w:t>Table 1. Respondent Profile</w:t>
      </w:r>
    </w:p>
    <w:tbl>
      <w:tblPr>
        <w:tblStyle w:val="19"/>
        <w:tblpPr w:leftFromText="180" w:rightFromText="180" w:vertAnchor="text" w:horzAnchor="margin" w:tblpXSpec="right" w:tblpY="164"/>
        <w:tblOverlap w:val="never"/>
        <w:tblW w:w="8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0"/>
        <w:gridCol w:w="1980"/>
        <w:gridCol w:w="571"/>
        <w:gridCol w:w="1786"/>
        <w:gridCol w:w="1515"/>
        <w:gridCol w:w="571"/>
      </w:tblGrid>
      <w:tr w:rsidR="00B1477A" w:rsidRPr="00842ED7" w:rsidTr="00B1477A">
        <w:trPr>
          <w:trHeight w:val="226"/>
        </w:trPr>
        <w:tc>
          <w:tcPr>
            <w:tcW w:w="3650" w:type="dxa"/>
            <w:gridSpan w:val="2"/>
            <w:tcBorders>
              <w:top w:val="single" w:sz="12" w:space="0" w:color="auto"/>
              <w:bottom w:val="single" w:sz="12" w:space="0" w:color="auto"/>
            </w:tcBorders>
          </w:tcPr>
          <w:p w:rsidR="00B1477A" w:rsidRPr="00842ED7" w:rsidRDefault="00B1477A" w:rsidP="000B0CC7">
            <w:pPr>
              <w:spacing w:line="280" w:lineRule="exact"/>
              <w:rPr>
                <w:sz w:val="20"/>
                <w:szCs w:val="20"/>
              </w:rPr>
            </w:pPr>
            <w:r w:rsidRPr="00842ED7">
              <w:rPr>
                <w:sz w:val="20"/>
                <w:szCs w:val="20"/>
              </w:rPr>
              <w:t>Demographic characteristics</w:t>
            </w:r>
          </w:p>
        </w:tc>
        <w:tc>
          <w:tcPr>
            <w:tcW w:w="571" w:type="dxa"/>
            <w:tcBorders>
              <w:top w:val="single" w:sz="12" w:space="0" w:color="auto"/>
              <w:bottom w:val="single" w:sz="12" w:space="0" w:color="auto"/>
            </w:tcBorders>
          </w:tcPr>
          <w:p w:rsidR="00B1477A" w:rsidRPr="00842ED7" w:rsidRDefault="00B1477A" w:rsidP="000B0CC7">
            <w:pPr>
              <w:spacing w:line="280" w:lineRule="exact"/>
              <w:rPr>
                <w:sz w:val="20"/>
                <w:szCs w:val="20"/>
              </w:rPr>
            </w:pPr>
            <w:r w:rsidRPr="00842ED7">
              <w:rPr>
                <w:rFonts w:hint="eastAsia"/>
                <w:sz w:val="20"/>
                <w:szCs w:val="20"/>
              </w:rPr>
              <w:t>%</w:t>
            </w:r>
          </w:p>
        </w:tc>
        <w:tc>
          <w:tcPr>
            <w:tcW w:w="3301" w:type="dxa"/>
            <w:gridSpan w:val="2"/>
            <w:tcBorders>
              <w:top w:val="single" w:sz="12" w:space="0" w:color="auto"/>
              <w:bottom w:val="single" w:sz="12" w:space="0" w:color="auto"/>
            </w:tcBorders>
          </w:tcPr>
          <w:p w:rsidR="00B1477A" w:rsidRPr="00842ED7" w:rsidRDefault="00B1477A" w:rsidP="000B0CC7">
            <w:pPr>
              <w:spacing w:line="280" w:lineRule="exact"/>
              <w:rPr>
                <w:sz w:val="20"/>
                <w:szCs w:val="20"/>
              </w:rPr>
            </w:pPr>
            <w:r w:rsidRPr="00842ED7">
              <w:rPr>
                <w:sz w:val="20"/>
                <w:szCs w:val="20"/>
              </w:rPr>
              <w:t>Demographic characteristics</w:t>
            </w:r>
          </w:p>
        </w:tc>
        <w:tc>
          <w:tcPr>
            <w:tcW w:w="571" w:type="dxa"/>
            <w:tcBorders>
              <w:top w:val="single" w:sz="12" w:space="0" w:color="auto"/>
              <w:bottom w:val="single" w:sz="12" w:space="0" w:color="auto"/>
            </w:tcBorders>
          </w:tcPr>
          <w:p w:rsidR="00B1477A" w:rsidRPr="00842ED7" w:rsidRDefault="00B1477A" w:rsidP="000B0CC7">
            <w:pPr>
              <w:spacing w:line="280" w:lineRule="exact"/>
              <w:rPr>
                <w:sz w:val="20"/>
                <w:szCs w:val="20"/>
              </w:rPr>
            </w:pPr>
            <w:r w:rsidRPr="00842ED7">
              <w:rPr>
                <w:rFonts w:hint="eastAsia"/>
                <w:sz w:val="20"/>
                <w:szCs w:val="20"/>
              </w:rPr>
              <w:t>%</w:t>
            </w:r>
          </w:p>
        </w:tc>
      </w:tr>
      <w:tr w:rsidR="00B1477A" w:rsidRPr="00842ED7" w:rsidTr="00B1477A">
        <w:trPr>
          <w:trHeight w:val="226"/>
        </w:trPr>
        <w:tc>
          <w:tcPr>
            <w:tcW w:w="1670" w:type="dxa"/>
            <w:vMerge w:val="restart"/>
            <w:tcBorders>
              <w:top w:val="single" w:sz="12" w:space="0" w:color="auto"/>
            </w:tcBorders>
            <w:vAlign w:val="center"/>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Gender</w:t>
            </w:r>
          </w:p>
        </w:tc>
        <w:tc>
          <w:tcPr>
            <w:tcW w:w="1980" w:type="dxa"/>
            <w:tcBorders>
              <w:top w:val="single" w:sz="12" w:space="0" w:color="auto"/>
            </w:tcBorders>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Male</w:t>
            </w:r>
          </w:p>
        </w:tc>
        <w:tc>
          <w:tcPr>
            <w:tcW w:w="571" w:type="dxa"/>
            <w:tcBorders>
              <w:top w:val="single" w:sz="12" w:space="0" w:color="auto"/>
            </w:tcBorders>
          </w:tcPr>
          <w:p w:rsidR="00B1477A" w:rsidRPr="00842ED7" w:rsidRDefault="00B1477A" w:rsidP="000B0CC7">
            <w:pPr>
              <w:spacing w:line="280" w:lineRule="exact"/>
              <w:jc w:val="right"/>
              <w:rPr>
                <w:sz w:val="20"/>
                <w:szCs w:val="20"/>
              </w:rPr>
            </w:pPr>
            <w:r w:rsidRPr="00842ED7">
              <w:rPr>
                <w:sz w:val="20"/>
                <w:szCs w:val="20"/>
              </w:rPr>
              <w:t>51.9</w:t>
            </w:r>
          </w:p>
        </w:tc>
        <w:tc>
          <w:tcPr>
            <w:tcW w:w="1786" w:type="dxa"/>
            <w:vMerge w:val="restart"/>
            <w:tcBorders>
              <w:top w:val="single" w:sz="12" w:space="0" w:color="auto"/>
            </w:tcBorders>
            <w:vAlign w:val="center"/>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M</w:t>
            </w:r>
            <w:r w:rsidRPr="00842ED7">
              <w:rPr>
                <w:sz w:val="20"/>
                <w:szCs w:val="20"/>
                <w:shd w:val="clear" w:color="auto" w:fill="FFFFFF"/>
              </w:rPr>
              <w:t>onthly income</w:t>
            </w:r>
            <w:r w:rsidRPr="00842ED7">
              <w:rPr>
                <w:rFonts w:hint="eastAsia"/>
                <w:sz w:val="20"/>
                <w:szCs w:val="20"/>
                <w:shd w:val="clear" w:color="auto" w:fill="FFFFFF"/>
              </w:rPr>
              <w:t xml:space="preserve"> (</w:t>
            </w:r>
            <w:r w:rsidRPr="00842ED7">
              <w:rPr>
                <w:sz w:val="20"/>
                <w:szCs w:val="20"/>
                <w:shd w:val="clear" w:color="auto" w:fill="FFFFFF"/>
              </w:rPr>
              <w:t>NTD</w:t>
            </w:r>
            <w:r w:rsidRPr="00842ED7">
              <w:rPr>
                <w:rFonts w:hint="eastAsia"/>
                <w:sz w:val="20"/>
                <w:szCs w:val="20"/>
                <w:shd w:val="clear" w:color="auto" w:fill="FFFFFF"/>
              </w:rPr>
              <w:t>)</w:t>
            </w:r>
          </w:p>
        </w:tc>
        <w:tc>
          <w:tcPr>
            <w:tcW w:w="1515" w:type="dxa"/>
            <w:tcBorders>
              <w:top w:val="single" w:sz="12" w:space="0" w:color="auto"/>
            </w:tcBorders>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N</w:t>
            </w:r>
            <w:r w:rsidRPr="00842ED7">
              <w:rPr>
                <w:sz w:val="20"/>
                <w:szCs w:val="20"/>
                <w:shd w:val="clear" w:color="auto" w:fill="FFFFFF"/>
              </w:rPr>
              <w:t>o fixed income</w:t>
            </w:r>
          </w:p>
        </w:tc>
        <w:tc>
          <w:tcPr>
            <w:tcW w:w="571" w:type="dxa"/>
            <w:tcBorders>
              <w:top w:val="single" w:sz="12" w:space="0" w:color="auto"/>
            </w:tcBorders>
          </w:tcPr>
          <w:p w:rsidR="00B1477A" w:rsidRPr="00842ED7" w:rsidRDefault="00B1477A" w:rsidP="000B0CC7">
            <w:pPr>
              <w:spacing w:line="280" w:lineRule="exact"/>
              <w:jc w:val="right"/>
              <w:rPr>
                <w:sz w:val="20"/>
                <w:szCs w:val="20"/>
              </w:rPr>
            </w:pPr>
            <w:r w:rsidRPr="00842ED7">
              <w:rPr>
                <w:sz w:val="20"/>
                <w:szCs w:val="20"/>
              </w:rPr>
              <w:t>6.0</w:t>
            </w:r>
          </w:p>
        </w:tc>
      </w:tr>
      <w:tr w:rsidR="00B1477A" w:rsidRPr="00842ED7" w:rsidTr="00B1477A">
        <w:trPr>
          <w:trHeight w:val="226"/>
        </w:trPr>
        <w:tc>
          <w:tcPr>
            <w:tcW w:w="1670" w:type="dxa"/>
            <w:vMerge/>
            <w:vAlign w:val="center"/>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Female</w:t>
            </w:r>
          </w:p>
        </w:tc>
        <w:tc>
          <w:tcPr>
            <w:tcW w:w="571" w:type="dxa"/>
          </w:tcPr>
          <w:p w:rsidR="00B1477A" w:rsidRPr="00842ED7" w:rsidRDefault="00B1477A" w:rsidP="000B0CC7">
            <w:pPr>
              <w:spacing w:line="280" w:lineRule="exact"/>
              <w:jc w:val="right"/>
              <w:rPr>
                <w:sz w:val="20"/>
                <w:szCs w:val="20"/>
              </w:rPr>
            </w:pPr>
            <w:r w:rsidRPr="00842ED7">
              <w:rPr>
                <w:rFonts w:hint="eastAsia"/>
                <w:sz w:val="20"/>
                <w:szCs w:val="20"/>
              </w:rPr>
              <w:t>48.1</w:t>
            </w:r>
          </w:p>
        </w:tc>
        <w:tc>
          <w:tcPr>
            <w:tcW w:w="1786" w:type="dxa"/>
            <w:vMerge/>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 xml:space="preserve">Under 30,000 </w:t>
            </w:r>
          </w:p>
        </w:tc>
        <w:tc>
          <w:tcPr>
            <w:tcW w:w="571" w:type="dxa"/>
          </w:tcPr>
          <w:p w:rsidR="00B1477A" w:rsidRPr="00842ED7" w:rsidRDefault="00B1477A" w:rsidP="000B0CC7">
            <w:pPr>
              <w:spacing w:line="280" w:lineRule="exact"/>
              <w:jc w:val="right"/>
              <w:rPr>
                <w:sz w:val="20"/>
                <w:szCs w:val="20"/>
              </w:rPr>
            </w:pPr>
            <w:r w:rsidRPr="00842ED7">
              <w:rPr>
                <w:rFonts w:hint="eastAsia"/>
                <w:sz w:val="20"/>
                <w:szCs w:val="20"/>
              </w:rPr>
              <w:t>5.9</w:t>
            </w:r>
          </w:p>
        </w:tc>
      </w:tr>
      <w:tr w:rsidR="00B1477A" w:rsidRPr="00842ED7" w:rsidTr="00B1477A">
        <w:trPr>
          <w:trHeight w:val="226"/>
        </w:trPr>
        <w:tc>
          <w:tcPr>
            <w:tcW w:w="1670" w:type="dxa"/>
            <w:vMerge w:val="restart"/>
            <w:vAlign w:val="center"/>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Age (years)</w:t>
            </w:r>
          </w:p>
        </w:tc>
        <w:tc>
          <w:tcPr>
            <w:tcW w:w="1980"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18-</w:t>
            </w:r>
            <w:r w:rsidRPr="00842ED7">
              <w:rPr>
                <w:sz w:val="20"/>
                <w:szCs w:val="20"/>
                <w:shd w:val="clear" w:color="auto" w:fill="FFFFFF"/>
              </w:rPr>
              <w:t>25</w:t>
            </w:r>
          </w:p>
        </w:tc>
        <w:tc>
          <w:tcPr>
            <w:tcW w:w="571" w:type="dxa"/>
          </w:tcPr>
          <w:p w:rsidR="00B1477A" w:rsidRPr="00842ED7" w:rsidRDefault="00B1477A" w:rsidP="000B0CC7">
            <w:pPr>
              <w:spacing w:line="280" w:lineRule="exact"/>
              <w:jc w:val="right"/>
              <w:rPr>
                <w:sz w:val="20"/>
                <w:szCs w:val="20"/>
              </w:rPr>
            </w:pPr>
            <w:r w:rsidRPr="00842ED7">
              <w:rPr>
                <w:sz w:val="20"/>
                <w:szCs w:val="20"/>
              </w:rPr>
              <w:t>41.9</w:t>
            </w:r>
          </w:p>
        </w:tc>
        <w:tc>
          <w:tcPr>
            <w:tcW w:w="1786" w:type="dxa"/>
            <w:vMerge/>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 xml:space="preserve">30001-60000 </w:t>
            </w:r>
          </w:p>
        </w:tc>
        <w:tc>
          <w:tcPr>
            <w:tcW w:w="571" w:type="dxa"/>
          </w:tcPr>
          <w:p w:rsidR="00B1477A" w:rsidRPr="00842ED7" w:rsidRDefault="00B1477A" w:rsidP="000B0CC7">
            <w:pPr>
              <w:spacing w:line="280" w:lineRule="exact"/>
              <w:jc w:val="right"/>
              <w:rPr>
                <w:sz w:val="20"/>
                <w:szCs w:val="20"/>
              </w:rPr>
            </w:pPr>
            <w:r w:rsidRPr="00842ED7">
              <w:rPr>
                <w:rFonts w:hint="eastAsia"/>
                <w:sz w:val="20"/>
                <w:szCs w:val="20"/>
              </w:rPr>
              <w:t>44.6</w:t>
            </w:r>
          </w:p>
        </w:tc>
      </w:tr>
      <w:tr w:rsidR="00B1477A" w:rsidRPr="00842ED7" w:rsidTr="00B1477A">
        <w:trPr>
          <w:trHeight w:val="226"/>
        </w:trPr>
        <w:tc>
          <w:tcPr>
            <w:tcW w:w="1670" w:type="dxa"/>
            <w:vMerge/>
            <w:vAlign w:val="center"/>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26</w:t>
            </w:r>
            <w:r w:rsidRPr="00842ED7">
              <w:rPr>
                <w:rFonts w:hint="eastAsia"/>
                <w:sz w:val="20"/>
                <w:szCs w:val="20"/>
                <w:shd w:val="clear" w:color="auto" w:fill="FFFFFF"/>
              </w:rPr>
              <w:t>-</w:t>
            </w:r>
            <w:r w:rsidRPr="00842ED7">
              <w:rPr>
                <w:sz w:val="20"/>
                <w:szCs w:val="20"/>
                <w:shd w:val="clear" w:color="auto" w:fill="FFFFFF"/>
              </w:rPr>
              <w:t>35</w:t>
            </w:r>
          </w:p>
        </w:tc>
        <w:tc>
          <w:tcPr>
            <w:tcW w:w="571" w:type="dxa"/>
          </w:tcPr>
          <w:p w:rsidR="00B1477A" w:rsidRPr="00842ED7" w:rsidRDefault="00B1477A" w:rsidP="000B0CC7">
            <w:pPr>
              <w:spacing w:line="280" w:lineRule="exact"/>
              <w:jc w:val="right"/>
              <w:rPr>
                <w:sz w:val="20"/>
                <w:szCs w:val="20"/>
              </w:rPr>
            </w:pPr>
            <w:r w:rsidRPr="00842ED7">
              <w:rPr>
                <w:sz w:val="20"/>
                <w:szCs w:val="20"/>
              </w:rPr>
              <w:t>35.9</w:t>
            </w:r>
          </w:p>
        </w:tc>
        <w:tc>
          <w:tcPr>
            <w:tcW w:w="1786" w:type="dxa"/>
            <w:vMerge/>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 xml:space="preserve">60001-90000 </w:t>
            </w:r>
          </w:p>
        </w:tc>
        <w:tc>
          <w:tcPr>
            <w:tcW w:w="571" w:type="dxa"/>
          </w:tcPr>
          <w:p w:rsidR="00B1477A" w:rsidRPr="00842ED7" w:rsidRDefault="00B1477A" w:rsidP="000B0CC7">
            <w:pPr>
              <w:spacing w:line="280" w:lineRule="exact"/>
              <w:jc w:val="right"/>
              <w:rPr>
                <w:sz w:val="20"/>
                <w:szCs w:val="20"/>
              </w:rPr>
            </w:pPr>
            <w:r w:rsidRPr="00842ED7">
              <w:rPr>
                <w:rFonts w:hint="eastAsia"/>
                <w:sz w:val="20"/>
                <w:szCs w:val="20"/>
              </w:rPr>
              <w:t>31.0</w:t>
            </w:r>
          </w:p>
        </w:tc>
      </w:tr>
      <w:tr w:rsidR="00B1477A" w:rsidRPr="00842ED7" w:rsidTr="00B1477A">
        <w:trPr>
          <w:trHeight w:val="226"/>
        </w:trPr>
        <w:tc>
          <w:tcPr>
            <w:tcW w:w="1670" w:type="dxa"/>
            <w:vMerge/>
            <w:vAlign w:val="center"/>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36</w:t>
            </w:r>
            <w:r w:rsidRPr="00842ED7">
              <w:rPr>
                <w:rFonts w:hint="eastAsia"/>
                <w:sz w:val="20"/>
                <w:szCs w:val="20"/>
                <w:shd w:val="clear" w:color="auto" w:fill="FFFFFF"/>
              </w:rPr>
              <w:t>-</w:t>
            </w:r>
            <w:r w:rsidRPr="00842ED7">
              <w:rPr>
                <w:sz w:val="20"/>
                <w:szCs w:val="20"/>
                <w:shd w:val="clear" w:color="auto" w:fill="FFFFFF"/>
              </w:rPr>
              <w:t>45</w:t>
            </w:r>
          </w:p>
        </w:tc>
        <w:tc>
          <w:tcPr>
            <w:tcW w:w="571" w:type="dxa"/>
          </w:tcPr>
          <w:p w:rsidR="00B1477A" w:rsidRPr="00842ED7" w:rsidRDefault="00B1477A" w:rsidP="000B0CC7">
            <w:pPr>
              <w:spacing w:line="280" w:lineRule="exact"/>
              <w:jc w:val="right"/>
              <w:rPr>
                <w:sz w:val="20"/>
                <w:szCs w:val="20"/>
              </w:rPr>
            </w:pPr>
            <w:r w:rsidRPr="00842ED7">
              <w:rPr>
                <w:sz w:val="20"/>
                <w:szCs w:val="20"/>
              </w:rPr>
              <w:t>17.8</w:t>
            </w:r>
          </w:p>
        </w:tc>
        <w:tc>
          <w:tcPr>
            <w:tcW w:w="1786" w:type="dxa"/>
            <w:vMerge/>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 xml:space="preserve">90001-120000 </w:t>
            </w:r>
          </w:p>
        </w:tc>
        <w:tc>
          <w:tcPr>
            <w:tcW w:w="571" w:type="dxa"/>
          </w:tcPr>
          <w:p w:rsidR="00B1477A" w:rsidRPr="00842ED7" w:rsidRDefault="00B1477A" w:rsidP="000B0CC7">
            <w:pPr>
              <w:spacing w:line="280" w:lineRule="exact"/>
              <w:jc w:val="right"/>
              <w:rPr>
                <w:sz w:val="20"/>
                <w:szCs w:val="20"/>
              </w:rPr>
            </w:pPr>
            <w:r w:rsidRPr="00842ED7">
              <w:rPr>
                <w:rFonts w:hint="eastAsia"/>
                <w:sz w:val="20"/>
                <w:szCs w:val="20"/>
              </w:rPr>
              <w:t>7.1</w:t>
            </w:r>
          </w:p>
        </w:tc>
      </w:tr>
      <w:tr w:rsidR="00B1477A" w:rsidRPr="00842ED7" w:rsidTr="00B1477A">
        <w:trPr>
          <w:trHeight w:val="226"/>
        </w:trPr>
        <w:tc>
          <w:tcPr>
            <w:tcW w:w="1670" w:type="dxa"/>
            <w:vMerge/>
            <w:vAlign w:val="center"/>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 xml:space="preserve">Over </w:t>
            </w:r>
            <w:r w:rsidRPr="00842ED7">
              <w:rPr>
                <w:sz w:val="20"/>
                <w:szCs w:val="20"/>
                <w:shd w:val="clear" w:color="auto" w:fill="FFFFFF"/>
              </w:rPr>
              <w:t>45</w:t>
            </w:r>
          </w:p>
        </w:tc>
        <w:tc>
          <w:tcPr>
            <w:tcW w:w="571" w:type="dxa"/>
          </w:tcPr>
          <w:p w:rsidR="00B1477A" w:rsidRPr="00842ED7" w:rsidRDefault="00B1477A" w:rsidP="000B0CC7">
            <w:pPr>
              <w:spacing w:line="280" w:lineRule="exact"/>
              <w:jc w:val="right"/>
              <w:rPr>
                <w:sz w:val="20"/>
                <w:szCs w:val="20"/>
              </w:rPr>
            </w:pPr>
            <w:r w:rsidRPr="00842ED7">
              <w:rPr>
                <w:sz w:val="20"/>
                <w:szCs w:val="20"/>
              </w:rPr>
              <w:t>4.4</w:t>
            </w:r>
          </w:p>
        </w:tc>
        <w:tc>
          <w:tcPr>
            <w:tcW w:w="1786" w:type="dxa"/>
            <w:vMerge/>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 xml:space="preserve">Over </w:t>
            </w:r>
            <w:r w:rsidRPr="00842ED7">
              <w:rPr>
                <w:rFonts w:hint="eastAsia"/>
                <w:sz w:val="20"/>
                <w:szCs w:val="20"/>
                <w:shd w:val="clear" w:color="auto" w:fill="FFFFFF"/>
              </w:rPr>
              <w:t>12</w:t>
            </w:r>
            <w:r w:rsidRPr="00842ED7">
              <w:rPr>
                <w:sz w:val="20"/>
                <w:szCs w:val="20"/>
                <w:shd w:val="clear" w:color="auto" w:fill="FFFFFF"/>
              </w:rPr>
              <w:t>0000</w:t>
            </w:r>
          </w:p>
        </w:tc>
        <w:tc>
          <w:tcPr>
            <w:tcW w:w="571" w:type="dxa"/>
          </w:tcPr>
          <w:p w:rsidR="00B1477A" w:rsidRPr="00842ED7" w:rsidRDefault="00B1477A" w:rsidP="000B0CC7">
            <w:pPr>
              <w:spacing w:line="280" w:lineRule="exact"/>
              <w:jc w:val="right"/>
              <w:rPr>
                <w:sz w:val="20"/>
                <w:szCs w:val="20"/>
              </w:rPr>
            </w:pPr>
            <w:r w:rsidRPr="00842ED7">
              <w:rPr>
                <w:rFonts w:hint="eastAsia"/>
                <w:sz w:val="20"/>
                <w:szCs w:val="20"/>
              </w:rPr>
              <w:t>5.4</w:t>
            </w:r>
          </w:p>
        </w:tc>
      </w:tr>
      <w:tr w:rsidR="00B1477A" w:rsidRPr="00842ED7" w:rsidTr="00B1477A">
        <w:trPr>
          <w:trHeight w:val="226"/>
        </w:trPr>
        <w:tc>
          <w:tcPr>
            <w:tcW w:w="1670" w:type="dxa"/>
            <w:vMerge w:val="restart"/>
            <w:vAlign w:val="center"/>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E</w:t>
            </w:r>
            <w:r w:rsidRPr="00842ED7">
              <w:rPr>
                <w:sz w:val="20"/>
                <w:szCs w:val="20"/>
                <w:shd w:val="clear" w:color="auto" w:fill="FFFFFF"/>
              </w:rPr>
              <w:t>ducation</w:t>
            </w:r>
          </w:p>
        </w:tc>
        <w:tc>
          <w:tcPr>
            <w:tcW w:w="1980"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Mid. school and below</w:t>
            </w:r>
          </w:p>
        </w:tc>
        <w:tc>
          <w:tcPr>
            <w:tcW w:w="571" w:type="dxa"/>
          </w:tcPr>
          <w:p w:rsidR="00B1477A" w:rsidRPr="00842ED7" w:rsidRDefault="00B1477A" w:rsidP="000B0CC7">
            <w:pPr>
              <w:spacing w:line="280" w:lineRule="exact"/>
              <w:jc w:val="right"/>
              <w:rPr>
                <w:sz w:val="20"/>
                <w:szCs w:val="20"/>
              </w:rPr>
            </w:pPr>
            <w:r w:rsidRPr="00842ED7">
              <w:rPr>
                <w:sz w:val="20"/>
                <w:szCs w:val="20"/>
              </w:rPr>
              <w:t>7.6</w:t>
            </w:r>
          </w:p>
        </w:tc>
        <w:tc>
          <w:tcPr>
            <w:tcW w:w="1786" w:type="dxa"/>
            <w:vMerge/>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p>
        </w:tc>
        <w:tc>
          <w:tcPr>
            <w:tcW w:w="571" w:type="dxa"/>
          </w:tcPr>
          <w:p w:rsidR="00B1477A" w:rsidRPr="00842ED7" w:rsidRDefault="00B1477A" w:rsidP="000B0CC7">
            <w:pPr>
              <w:spacing w:line="280" w:lineRule="exact"/>
              <w:jc w:val="right"/>
              <w:rPr>
                <w:sz w:val="20"/>
                <w:szCs w:val="20"/>
              </w:rPr>
            </w:pPr>
          </w:p>
        </w:tc>
      </w:tr>
      <w:tr w:rsidR="00B1477A" w:rsidRPr="00842ED7" w:rsidTr="00B1477A">
        <w:trPr>
          <w:trHeight w:val="226"/>
        </w:trPr>
        <w:tc>
          <w:tcPr>
            <w:tcW w:w="1670" w:type="dxa"/>
            <w:vMerge/>
            <w:vAlign w:val="center"/>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High school degree</w:t>
            </w:r>
          </w:p>
        </w:tc>
        <w:tc>
          <w:tcPr>
            <w:tcW w:w="571" w:type="dxa"/>
          </w:tcPr>
          <w:p w:rsidR="00B1477A" w:rsidRPr="00842ED7" w:rsidRDefault="00B1477A" w:rsidP="000B0CC7">
            <w:pPr>
              <w:spacing w:line="280" w:lineRule="exact"/>
              <w:jc w:val="right"/>
              <w:rPr>
                <w:sz w:val="20"/>
                <w:szCs w:val="20"/>
              </w:rPr>
            </w:pPr>
            <w:r w:rsidRPr="00842ED7">
              <w:rPr>
                <w:sz w:val="20"/>
                <w:szCs w:val="20"/>
              </w:rPr>
              <w:t>36.7</w:t>
            </w:r>
          </w:p>
        </w:tc>
        <w:tc>
          <w:tcPr>
            <w:tcW w:w="1786" w:type="dxa"/>
            <w:vMerge/>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p>
        </w:tc>
        <w:tc>
          <w:tcPr>
            <w:tcW w:w="571" w:type="dxa"/>
          </w:tcPr>
          <w:p w:rsidR="00B1477A" w:rsidRPr="00842ED7" w:rsidRDefault="00B1477A" w:rsidP="000B0CC7">
            <w:pPr>
              <w:spacing w:line="280" w:lineRule="exact"/>
              <w:jc w:val="right"/>
              <w:rPr>
                <w:sz w:val="20"/>
                <w:szCs w:val="20"/>
              </w:rPr>
            </w:pPr>
          </w:p>
        </w:tc>
      </w:tr>
      <w:tr w:rsidR="00B1477A" w:rsidRPr="00842ED7" w:rsidTr="00B1477A">
        <w:trPr>
          <w:trHeight w:val="226"/>
        </w:trPr>
        <w:tc>
          <w:tcPr>
            <w:tcW w:w="1670" w:type="dxa"/>
            <w:vMerge/>
            <w:vAlign w:val="center"/>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University degree</w:t>
            </w:r>
          </w:p>
        </w:tc>
        <w:tc>
          <w:tcPr>
            <w:tcW w:w="571" w:type="dxa"/>
          </w:tcPr>
          <w:p w:rsidR="00B1477A" w:rsidRPr="00842ED7" w:rsidRDefault="00B1477A" w:rsidP="000B0CC7">
            <w:pPr>
              <w:spacing w:line="280" w:lineRule="exact"/>
              <w:jc w:val="right"/>
              <w:rPr>
                <w:sz w:val="20"/>
                <w:szCs w:val="20"/>
              </w:rPr>
            </w:pPr>
            <w:r w:rsidRPr="00842ED7">
              <w:rPr>
                <w:sz w:val="20"/>
                <w:szCs w:val="20"/>
              </w:rPr>
              <w:t>46.6</w:t>
            </w:r>
          </w:p>
        </w:tc>
        <w:tc>
          <w:tcPr>
            <w:tcW w:w="1786" w:type="dxa"/>
            <w:vMerge/>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1</w:t>
            </w:r>
          </w:p>
        </w:tc>
        <w:tc>
          <w:tcPr>
            <w:tcW w:w="571" w:type="dxa"/>
          </w:tcPr>
          <w:p w:rsidR="00B1477A" w:rsidRPr="00842ED7" w:rsidRDefault="00B1477A" w:rsidP="000B0CC7">
            <w:pPr>
              <w:spacing w:line="280" w:lineRule="exact"/>
              <w:jc w:val="right"/>
              <w:rPr>
                <w:sz w:val="20"/>
                <w:szCs w:val="20"/>
              </w:rPr>
            </w:pPr>
            <w:r w:rsidRPr="00842ED7">
              <w:rPr>
                <w:sz w:val="20"/>
                <w:szCs w:val="20"/>
              </w:rPr>
              <w:t>32.6</w:t>
            </w:r>
          </w:p>
        </w:tc>
      </w:tr>
      <w:tr w:rsidR="00B1477A" w:rsidRPr="00842ED7" w:rsidTr="00B1477A">
        <w:trPr>
          <w:trHeight w:val="226"/>
        </w:trPr>
        <w:tc>
          <w:tcPr>
            <w:tcW w:w="1670" w:type="dxa"/>
            <w:vMerge/>
            <w:vAlign w:val="center"/>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Graduate degree</w:t>
            </w:r>
          </w:p>
        </w:tc>
        <w:tc>
          <w:tcPr>
            <w:tcW w:w="571" w:type="dxa"/>
          </w:tcPr>
          <w:p w:rsidR="00B1477A" w:rsidRPr="00842ED7" w:rsidRDefault="00B1477A" w:rsidP="000B0CC7">
            <w:pPr>
              <w:spacing w:line="280" w:lineRule="exact"/>
              <w:jc w:val="right"/>
              <w:rPr>
                <w:sz w:val="20"/>
                <w:szCs w:val="20"/>
              </w:rPr>
            </w:pPr>
            <w:r w:rsidRPr="00842ED7">
              <w:rPr>
                <w:sz w:val="20"/>
                <w:szCs w:val="20"/>
              </w:rPr>
              <w:t>9.1</w:t>
            </w:r>
          </w:p>
        </w:tc>
        <w:tc>
          <w:tcPr>
            <w:tcW w:w="1786" w:type="dxa"/>
            <w:vAlign w:val="center"/>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No. of Participation</w:t>
            </w:r>
          </w:p>
        </w:tc>
        <w:tc>
          <w:tcPr>
            <w:tcW w:w="1515"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2</w:t>
            </w:r>
          </w:p>
        </w:tc>
        <w:tc>
          <w:tcPr>
            <w:tcW w:w="571" w:type="dxa"/>
          </w:tcPr>
          <w:p w:rsidR="00B1477A" w:rsidRPr="00842ED7" w:rsidRDefault="00B1477A" w:rsidP="000B0CC7">
            <w:pPr>
              <w:spacing w:line="280" w:lineRule="exact"/>
              <w:jc w:val="right"/>
              <w:rPr>
                <w:sz w:val="20"/>
                <w:szCs w:val="20"/>
              </w:rPr>
            </w:pPr>
            <w:r w:rsidRPr="00842ED7">
              <w:rPr>
                <w:sz w:val="20"/>
                <w:szCs w:val="20"/>
              </w:rPr>
              <w:t>32.0</w:t>
            </w:r>
          </w:p>
        </w:tc>
      </w:tr>
      <w:tr w:rsidR="00B1477A" w:rsidRPr="00842ED7" w:rsidTr="00B1477A">
        <w:trPr>
          <w:trHeight w:val="226"/>
        </w:trPr>
        <w:tc>
          <w:tcPr>
            <w:tcW w:w="1670" w:type="dxa"/>
            <w:vMerge w:val="restart"/>
            <w:tcBorders>
              <w:bottom w:val="single" w:sz="12" w:space="0" w:color="auto"/>
            </w:tcBorders>
            <w:vAlign w:val="center"/>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R</w:t>
            </w:r>
            <w:r w:rsidRPr="00842ED7">
              <w:rPr>
                <w:sz w:val="20"/>
                <w:szCs w:val="20"/>
                <w:shd w:val="clear" w:color="auto" w:fill="FFFFFF"/>
              </w:rPr>
              <w:t>esidential area</w:t>
            </w:r>
          </w:p>
        </w:tc>
        <w:tc>
          <w:tcPr>
            <w:tcW w:w="1980"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N</w:t>
            </w:r>
            <w:r w:rsidRPr="00842ED7">
              <w:rPr>
                <w:sz w:val="20"/>
                <w:szCs w:val="20"/>
                <w:shd w:val="clear" w:color="auto" w:fill="FFFFFF"/>
              </w:rPr>
              <w:t>orthern region</w:t>
            </w:r>
          </w:p>
        </w:tc>
        <w:tc>
          <w:tcPr>
            <w:tcW w:w="571" w:type="dxa"/>
          </w:tcPr>
          <w:p w:rsidR="00B1477A" w:rsidRPr="00842ED7" w:rsidRDefault="00B1477A" w:rsidP="000B0CC7">
            <w:pPr>
              <w:spacing w:line="280" w:lineRule="exact"/>
              <w:jc w:val="right"/>
              <w:rPr>
                <w:sz w:val="20"/>
                <w:szCs w:val="20"/>
              </w:rPr>
            </w:pPr>
            <w:r w:rsidRPr="00842ED7">
              <w:rPr>
                <w:sz w:val="20"/>
                <w:szCs w:val="20"/>
              </w:rPr>
              <w:t>33</w:t>
            </w:r>
          </w:p>
        </w:tc>
        <w:tc>
          <w:tcPr>
            <w:tcW w:w="1786" w:type="dxa"/>
            <w:vMerge w:val="restart"/>
            <w:vAlign w:val="center"/>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3</w:t>
            </w:r>
          </w:p>
        </w:tc>
        <w:tc>
          <w:tcPr>
            <w:tcW w:w="571" w:type="dxa"/>
          </w:tcPr>
          <w:p w:rsidR="00B1477A" w:rsidRPr="00842ED7" w:rsidRDefault="00B1477A" w:rsidP="000B0CC7">
            <w:pPr>
              <w:spacing w:line="280" w:lineRule="exact"/>
              <w:jc w:val="right"/>
              <w:rPr>
                <w:sz w:val="20"/>
                <w:szCs w:val="20"/>
              </w:rPr>
            </w:pPr>
            <w:r w:rsidRPr="00842ED7">
              <w:rPr>
                <w:rFonts w:hint="eastAsia"/>
                <w:sz w:val="20"/>
                <w:szCs w:val="20"/>
              </w:rPr>
              <w:t>21.4</w:t>
            </w:r>
          </w:p>
        </w:tc>
      </w:tr>
      <w:tr w:rsidR="00B1477A" w:rsidRPr="00842ED7" w:rsidTr="00B1477A">
        <w:trPr>
          <w:trHeight w:val="226"/>
        </w:trPr>
        <w:tc>
          <w:tcPr>
            <w:tcW w:w="1670" w:type="dxa"/>
            <w:vMerge/>
            <w:tcBorders>
              <w:top w:val="single" w:sz="12" w:space="0" w:color="auto"/>
              <w:bottom w:val="single" w:sz="12" w:space="0" w:color="auto"/>
            </w:tcBorders>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C</w:t>
            </w:r>
            <w:r w:rsidRPr="00842ED7">
              <w:rPr>
                <w:sz w:val="20"/>
                <w:szCs w:val="20"/>
                <w:shd w:val="clear" w:color="auto" w:fill="FFFFFF"/>
              </w:rPr>
              <w:t>entral region</w:t>
            </w:r>
          </w:p>
        </w:tc>
        <w:tc>
          <w:tcPr>
            <w:tcW w:w="571" w:type="dxa"/>
          </w:tcPr>
          <w:p w:rsidR="00B1477A" w:rsidRPr="00842ED7" w:rsidRDefault="00B1477A" w:rsidP="000B0CC7">
            <w:pPr>
              <w:spacing w:line="280" w:lineRule="exact"/>
              <w:jc w:val="right"/>
              <w:rPr>
                <w:sz w:val="20"/>
                <w:szCs w:val="20"/>
              </w:rPr>
            </w:pPr>
            <w:r w:rsidRPr="00842ED7">
              <w:rPr>
                <w:sz w:val="20"/>
                <w:szCs w:val="20"/>
              </w:rPr>
              <w:t>33.8</w:t>
            </w:r>
          </w:p>
        </w:tc>
        <w:tc>
          <w:tcPr>
            <w:tcW w:w="1786" w:type="dxa"/>
            <w:vMerge/>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O</w:t>
            </w:r>
            <w:r w:rsidRPr="00842ED7">
              <w:rPr>
                <w:sz w:val="20"/>
                <w:szCs w:val="20"/>
                <w:shd w:val="clear" w:color="auto" w:fill="FFFFFF"/>
              </w:rPr>
              <w:t>ver 3</w:t>
            </w:r>
          </w:p>
        </w:tc>
        <w:tc>
          <w:tcPr>
            <w:tcW w:w="571" w:type="dxa"/>
          </w:tcPr>
          <w:p w:rsidR="00B1477A" w:rsidRPr="00842ED7" w:rsidRDefault="00B1477A" w:rsidP="000B0CC7">
            <w:pPr>
              <w:spacing w:line="280" w:lineRule="exact"/>
              <w:jc w:val="right"/>
              <w:rPr>
                <w:sz w:val="20"/>
                <w:szCs w:val="20"/>
              </w:rPr>
            </w:pPr>
            <w:r w:rsidRPr="00842ED7">
              <w:rPr>
                <w:rFonts w:hint="eastAsia"/>
                <w:sz w:val="20"/>
                <w:szCs w:val="20"/>
              </w:rPr>
              <w:t>14.0</w:t>
            </w:r>
          </w:p>
        </w:tc>
      </w:tr>
      <w:tr w:rsidR="00B1477A" w:rsidRPr="00842ED7" w:rsidTr="00B1477A">
        <w:trPr>
          <w:trHeight w:val="226"/>
        </w:trPr>
        <w:tc>
          <w:tcPr>
            <w:tcW w:w="1670" w:type="dxa"/>
            <w:vMerge/>
            <w:tcBorders>
              <w:top w:val="single" w:sz="12" w:space="0" w:color="auto"/>
              <w:bottom w:val="single" w:sz="12" w:space="0" w:color="auto"/>
            </w:tcBorders>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S</w:t>
            </w:r>
            <w:r w:rsidRPr="00842ED7">
              <w:rPr>
                <w:sz w:val="20"/>
                <w:szCs w:val="20"/>
                <w:shd w:val="clear" w:color="auto" w:fill="FFFFFF"/>
              </w:rPr>
              <w:t>outhern region</w:t>
            </w:r>
          </w:p>
        </w:tc>
        <w:tc>
          <w:tcPr>
            <w:tcW w:w="571" w:type="dxa"/>
          </w:tcPr>
          <w:p w:rsidR="00B1477A" w:rsidRPr="00842ED7" w:rsidRDefault="00B1477A" w:rsidP="000B0CC7">
            <w:pPr>
              <w:spacing w:line="280" w:lineRule="exact"/>
              <w:jc w:val="right"/>
              <w:rPr>
                <w:sz w:val="20"/>
                <w:szCs w:val="20"/>
              </w:rPr>
            </w:pPr>
            <w:r w:rsidRPr="00842ED7">
              <w:rPr>
                <w:sz w:val="20"/>
                <w:szCs w:val="20"/>
              </w:rPr>
              <w:t>10.6</w:t>
            </w:r>
          </w:p>
        </w:tc>
        <w:tc>
          <w:tcPr>
            <w:tcW w:w="1786" w:type="dxa"/>
            <w:vMerge/>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p>
        </w:tc>
        <w:tc>
          <w:tcPr>
            <w:tcW w:w="571" w:type="dxa"/>
          </w:tcPr>
          <w:p w:rsidR="00B1477A" w:rsidRPr="00842ED7" w:rsidRDefault="00B1477A" w:rsidP="000B0CC7">
            <w:pPr>
              <w:spacing w:line="280" w:lineRule="exact"/>
              <w:jc w:val="right"/>
              <w:rPr>
                <w:sz w:val="20"/>
                <w:szCs w:val="20"/>
              </w:rPr>
            </w:pPr>
          </w:p>
        </w:tc>
      </w:tr>
      <w:tr w:rsidR="00B1477A" w:rsidRPr="00842ED7" w:rsidTr="00B1477A">
        <w:trPr>
          <w:trHeight w:val="226"/>
        </w:trPr>
        <w:tc>
          <w:tcPr>
            <w:tcW w:w="1670" w:type="dxa"/>
            <w:vMerge/>
            <w:tcBorders>
              <w:top w:val="single" w:sz="12" w:space="0" w:color="auto"/>
              <w:bottom w:val="single" w:sz="12" w:space="0" w:color="auto"/>
            </w:tcBorders>
          </w:tcPr>
          <w:p w:rsidR="00B1477A" w:rsidRPr="00842ED7" w:rsidRDefault="00B1477A" w:rsidP="000B0CC7">
            <w:pPr>
              <w:spacing w:line="280" w:lineRule="exact"/>
              <w:rPr>
                <w:sz w:val="20"/>
                <w:szCs w:val="20"/>
                <w:shd w:val="clear" w:color="auto" w:fill="FFFFFF"/>
              </w:rPr>
            </w:pPr>
          </w:p>
        </w:tc>
        <w:tc>
          <w:tcPr>
            <w:tcW w:w="1980" w:type="dxa"/>
          </w:tcPr>
          <w:p w:rsidR="00B1477A" w:rsidRPr="00842ED7" w:rsidRDefault="00B1477A" w:rsidP="000B0CC7">
            <w:pPr>
              <w:spacing w:line="280" w:lineRule="exact"/>
              <w:rPr>
                <w:sz w:val="20"/>
                <w:szCs w:val="20"/>
                <w:shd w:val="clear" w:color="auto" w:fill="FFFFFF"/>
              </w:rPr>
            </w:pPr>
            <w:r w:rsidRPr="00842ED7">
              <w:rPr>
                <w:rFonts w:hint="eastAsia"/>
                <w:sz w:val="20"/>
                <w:szCs w:val="20"/>
                <w:shd w:val="clear" w:color="auto" w:fill="FFFFFF"/>
              </w:rPr>
              <w:t>E</w:t>
            </w:r>
            <w:r w:rsidRPr="00842ED7">
              <w:rPr>
                <w:sz w:val="20"/>
                <w:szCs w:val="20"/>
                <w:shd w:val="clear" w:color="auto" w:fill="FFFFFF"/>
              </w:rPr>
              <w:t>astern region</w:t>
            </w:r>
          </w:p>
        </w:tc>
        <w:tc>
          <w:tcPr>
            <w:tcW w:w="571" w:type="dxa"/>
          </w:tcPr>
          <w:p w:rsidR="00B1477A" w:rsidRPr="00842ED7" w:rsidRDefault="00B1477A" w:rsidP="000B0CC7">
            <w:pPr>
              <w:spacing w:line="280" w:lineRule="exact"/>
              <w:jc w:val="right"/>
              <w:rPr>
                <w:sz w:val="20"/>
                <w:szCs w:val="20"/>
              </w:rPr>
            </w:pPr>
            <w:r w:rsidRPr="00842ED7">
              <w:rPr>
                <w:sz w:val="20"/>
                <w:szCs w:val="20"/>
              </w:rPr>
              <w:t>6.7</w:t>
            </w:r>
          </w:p>
        </w:tc>
        <w:tc>
          <w:tcPr>
            <w:tcW w:w="1786" w:type="dxa"/>
            <w:vMerge/>
          </w:tcPr>
          <w:p w:rsidR="00B1477A" w:rsidRPr="00842ED7" w:rsidRDefault="00B1477A" w:rsidP="000B0CC7">
            <w:pPr>
              <w:spacing w:line="280" w:lineRule="exact"/>
              <w:rPr>
                <w:sz w:val="20"/>
                <w:szCs w:val="20"/>
                <w:shd w:val="clear" w:color="auto" w:fill="FFFFFF"/>
              </w:rPr>
            </w:pPr>
          </w:p>
        </w:tc>
        <w:tc>
          <w:tcPr>
            <w:tcW w:w="1515" w:type="dxa"/>
          </w:tcPr>
          <w:p w:rsidR="00B1477A" w:rsidRPr="00842ED7" w:rsidRDefault="00B1477A" w:rsidP="000B0CC7">
            <w:pPr>
              <w:spacing w:line="280" w:lineRule="exact"/>
              <w:rPr>
                <w:sz w:val="20"/>
                <w:szCs w:val="20"/>
                <w:shd w:val="clear" w:color="auto" w:fill="FFFFFF"/>
              </w:rPr>
            </w:pPr>
          </w:p>
        </w:tc>
        <w:tc>
          <w:tcPr>
            <w:tcW w:w="571" w:type="dxa"/>
          </w:tcPr>
          <w:p w:rsidR="00B1477A" w:rsidRPr="00842ED7" w:rsidRDefault="00B1477A" w:rsidP="000B0CC7">
            <w:pPr>
              <w:spacing w:line="280" w:lineRule="exact"/>
              <w:jc w:val="right"/>
              <w:rPr>
                <w:sz w:val="20"/>
                <w:szCs w:val="20"/>
              </w:rPr>
            </w:pPr>
          </w:p>
        </w:tc>
      </w:tr>
      <w:tr w:rsidR="00B1477A" w:rsidRPr="00842ED7" w:rsidTr="00B1477A">
        <w:trPr>
          <w:trHeight w:val="226"/>
        </w:trPr>
        <w:tc>
          <w:tcPr>
            <w:tcW w:w="1670" w:type="dxa"/>
            <w:vMerge/>
            <w:tcBorders>
              <w:top w:val="single" w:sz="12" w:space="0" w:color="auto"/>
              <w:bottom w:val="single" w:sz="12" w:space="0" w:color="auto"/>
            </w:tcBorders>
          </w:tcPr>
          <w:p w:rsidR="00B1477A" w:rsidRPr="00842ED7" w:rsidRDefault="00B1477A" w:rsidP="000B0CC7">
            <w:pPr>
              <w:spacing w:line="280" w:lineRule="exact"/>
              <w:rPr>
                <w:sz w:val="20"/>
                <w:szCs w:val="20"/>
                <w:shd w:val="clear" w:color="auto" w:fill="FFFFFF"/>
              </w:rPr>
            </w:pPr>
          </w:p>
        </w:tc>
        <w:tc>
          <w:tcPr>
            <w:tcW w:w="1980" w:type="dxa"/>
            <w:tcBorders>
              <w:bottom w:val="single" w:sz="12" w:space="0" w:color="auto"/>
            </w:tcBorders>
          </w:tcPr>
          <w:p w:rsidR="00B1477A" w:rsidRPr="00842ED7" w:rsidRDefault="00B1477A" w:rsidP="000B0CC7">
            <w:pPr>
              <w:spacing w:line="280" w:lineRule="exact"/>
              <w:rPr>
                <w:sz w:val="20"/>
                <w:szCs w:val="20"/>
                <w:shd w:val="clear" w:color="auto" w:fill="FFFFFF"/>
              </w:rPr>
            </w:pPr>
            <w:r w:rsidRPr="00842ED7">
              <w:rPr>
                <w:sz w:val="20"/>
                <w:szCs w:val="20"/>
                <w:shd w:val="clear" w:color="auto" w:fill="FFFFFF"/>
              </w:rPr>
              <w:t>Island area</w:t>
            </w:r>
          </w:p>
        </w:tc>
        <w:tc>
          <w:tcPr>
            <w:tcW w:w="571" w:type="dxa"/>
            <w:tcBorders>
              <w:bottom w:val="single" w:sz="12" w:space="0" w:color="auto"/>
            </w:tcBorders>
          </w:tcPr>
          <w:p w:rsidR="00B1477A" w:rsidRPr="00842ED7" w:rsidRDefault="00B1477A" w:rsidP="000B0CC7">
            <w:pPr>
              <w:spacing w:line="280" w:lineRule="exact"/>
              <w:jc w:val="right"/>
              <w:rPr>
                <w:sz w:val="20"/>
                <w:szCs w:val="20"/>
              </w:rPr>
            </w:pPr>
            <w:r w:rsidRPr="00842ED7">
              <w:rPr>
                <w:sz w:val="20"/>
                <w:szCs w:val="20"/>
              </w:rPr>
              <w:t>15.8</w:t>
            </w:r>
          </w:p>
        </w:tc>
        <w:tc>
          <w:tcPr>
            <w:tcW w:w="1786" w:type="dxa"/>
            <w:tcBorders>
              <w:bottom w:val="single" w:sz="12" w:space="0" w:color="auto"/>
            </w:tcBorders>
          </w:tcPr>
          <w:p w:rsidR="00B1477A" w:rsidRPr="00842ED7" w:rsidRDefault="00B1477A" w:rsidP="000B0CC7">
            <w:pPr>
              <w:spacing w:line="280" w:lineRule="exact"/>
              <w:rPr>
                <w:sz w:val="20"/>
                <w:szCs w:val="20"/>
                <w:shd w:val="clear" w:color="auto" w:fill="FFFFFF"/>
              </w:rPr>
            </w:pPr>
          </w:p>
        </w:tc>
        <w:tc>
          <w:tcPr>
            <w:tcW w:w="1515" w:type="dxa"/>
            <w:tcBorders>
              <w:bottom w:val="single" w:sz="12" w:space="0" w:color="auto"/>
            </w:tcBorders>
          </w:tcPr>
          <w:p w:rsidR="00B1477A" w:rsidRPr="00842ED7" w:rsidRDefault="00B1477A" w:rsidP="000B0CC7">
            <w:pPr>
              <w:spacing w:line="280" w:lineRule="exact"/>
              <w:rPr>
                <w:sz w:val="20"/>
                <w:szCs w:val="20"/>
                <w:shd w:val="clear" w:color="auto" w:fill="FFFFFF"/>
              </w:rPr>
            </w:pPr>
          </w:p>
        </w:tc>
        <w:tc>
          <w:tcPr>
            <w:tcW w:w="571" w:type="dxa"/>
            <w:tcBorders>
              <w:bottom w:val="single" w:sz="12" w:space="0" w:color="auto"/>
            </w:tcBorders>
          </w:tcPr>
          <w:p w:rsidR="00B1477A" w:rsidRPr="00842ED7" w:rsidRDefault="00B1477A" w:rsidP="000B0CC7">
            <w:pPr>
              <w:spacing w:line="280" w:lineRule="exact"/>
              <w:jc w:val="right"/>
              <w:rPr>
                <w:sz w:val="20"/>
                <w:szCs w:val="20"/>
              </w:rPr>
            </w:pPr>
          </w:p>
        </w:tc>
      </w:tr>
    </w:tbl>
    <w:p w:rsidR="00B1477A" w:rsidRPr="00F03F0F" w:rsidRDefault="00B1477A" w:rsidP="00B1477A">
      <w:pPr>
        <w:pStyle w:val="D31-1"/>
        <w:spacing w:before="180"/>
      </w:pPr>
      <w:r w:rsidRPr="00F03F0F">
        <w:t>Structural Equation Modeling (SEM)</w:t>
      </w:r>
    </w:p>
    <w:p w:rsidR="00B1477A" w:rsidRPr="00F03F0F" w:rsidRDefault="00B1477A" w:rsidP="00B1477A">
      <w:pPr>
        <w:pStyle w:val="B24"/>
        <w:ind w:firstLineChars="200" w:firstLine="520"/>
      </w:pPr>
      <w:r w:rsidRPr="00F03F0F">
        <w:t xml:space="preserve">This study employed Structural Equation Modeling (SEM) via IBM SPSS AMOS 23.0 to examine the hypothesized relationships among risk perception, perceived competence, self-efficacy, and flow experience within the context of marine leisure sports. Preliminary diagnostics confirmed that the data distribution adhered to the assumptions of multivariate normality, justifying the use of Maximum Likelihood Estimation (MLE). The goodness-of-fit was evaluated using multiple indices (see Table 2). The absolute fit indicators yielded a χ2 value of 3174.336. While statistically significant (p &lt; 0.001), this elevation is frequently attributed to the index’s sensitivity to large sample sizes and model complexity (Hair et al., 2019). The χ2 /df ratio was 2.862, which satisfies the </w:t>
      </w:r>
      <w:r w:rsidRPr="00F03F0F">
        <w:lastRenderedPageBreak/>
        <w:t>preferred threshold of being less than 3.0, indicating a good model fit. Regarding the fit indices, the Goodness of Fit Index (GFI = 0.786) and the Adjusted Goodness of Fit Index (AGFI = 0.763) approached the 0.80 benchmark. While slightly below the most stringent criteria, these values remain within a reasonable and acceptable range for complex structural models in exploratory social science research. Crucially, the Root Mean Square Error of Approximation (RMSEA) was 0.056, which is well below the 0.08 threshold, signifying an excellent fit between the proposed model and the empirical data. Despite some indices not reaching ideal upper limits, the holistic evaluation—particularly the favorable χ2/df and RMSEA values suggests that the proposed model maintains a satisfactory degree of parsimony and fit, providing a robust statistical foundation for subsequent hypothesis testing and path analysis.</w:t>
      </w:r>
    </w:p>
    <w:p w:rsidR="00B1477A" w:rsidRPr="00B1477A" w:rsidRDefault="00B1477A" w:rsidP="00B1477A">
      <w:pPr>
        <w:pStyle w:val="E1"/>
        <w:spacing w:before="360"/>
        <w:rPr>
          <w:rFonts w:ascii="Times New Roman" w:hAnsi="Times New Roman"/>
          <w:sz w:val="24"/>
          <w:szCs w:val="24"/>
        </w:rPr>
      </w:pPr>
      <w:r w:rsidRPr="00B1477A">
        <w:rPr>
          <w:rFonts w:ascii="Times New Roman" w:hAnsi="Times New Roman" w:hint="eastAsia"/>
          <w:sz w:val="24"/>
          <w:szCs w:val="24"/>
        </w:rPr>
        <w:t xml:space="preserve">Table 2. </w:t>
      </w:r>
      <w:r w:rsidRPr="00B1477A">
        <w:rPr>
          <w:rFonts w:ascii="Times New Roman" w:hAnsi="Times New Roman"/>
          <w:sz w:val="24"/>
          <w:szCs w:val="24"/>
        </w:rPr>
        <w:t>Overall structural model compatibility and adaptation status</w:t>
      </w:r>
    </w:p>
    <w:tbl>
      <w:tblPr>
        <w:tblW w:w="8080" w:type="dxa"/>
        <w:tblBorders>
          <w:top w:val="single" w:sz="12" w:space="0" w:color="auto"/>
          <w:bottom w:val="single" w:sz="12" w:space="0" w:color="auto"/>
          <w:insideH w:val="single" w:sz="6" w:space="0" w:color="auto"/>
        </w:tblBorders>
        <w:tblCellMar>
          <w:left w:w="28" w:type="dxa"/>
          <w:right w:w="28" w:type="dxa"/>
        </w:tblCellMar>
        <w:tblLook w:val="04A0" w:firstRow="1" w:lastRow="0" w:firstColumn="1" w:lastColumn="0" w:noHBand="0" w:noVBand="1"/>
      </w:tblPr>
      <w:tblGrid>
        <w:gridCol w:w="2835"/>
        <w:gridCol w:w="993"/>
        <w:gridCol w:w="2713"/>
        <w:gridCol w:w="1539"/>
      </w:tblGrid>
      <w:tr w:rsidR="00B1477A" w:rsidRPr="004D4C41" w:rsidTr="000B0CC7">
        <w:trPr>
          <w:trHeight w:val="370"/>
        </w:trPr>
        <w:tc>
          <w:tcPr>
            <w:tcW w:w="2835" w:type="dxa"/>
            <w:tcBorders>
              <w:top w:val="single" w:sz="12" w:space="0" w:color="auto"/>
              <w:bottom w:val="single" w:sz="12" w:space="0" w:color="auto"/>
            </w:tcBorders>
            <w:vAlign w:val="center"/>
            <w:hideMark/>
          </w:tcPr>
          <w:p w:rsidR="00B1477A" w:rsidRPr="00F03F0F" w:rsidRDefault="00B1477A" w:rsidP="000B0CC7">
            <w:pPr>
              <w:pStyle w:val="E2-"/>
              <w:rPr>
                <w:rFonts w:ascii="Times New Roman" w:hAnsi="Times New Roman" w:cs="Times New Roman"/>
              </w:rPr>
            </w:pPr>
            <w:r w:rsidRPr="00F03F0F">
              <w:rPr>
                <w:rFonts w:ascii="Times New Roman" w:hAnsi="Times New Roman" w:cs="Times New Roman"/>
              </w:rPr>
              <w:t>Model Fix Index</w:t>
            </w:r>
          </w:p>
        </w:tc>
        <w:tc>
          <w:tcPr>
            <w:tcW w:w="993" w:type="dxa"/>
            <w:tcBorders>
              <w:top w:val="single" w:sz="12" w:space="0" w:color="auto"/>
              <w:bottom w:val="single" w:sz="12" w:space="0" w:color="auto"/>
            </w:tcBorders>
            <w:vAlign w:val="center"/>
            <w:hideMark/>
          </w:tcPr>
          <w:p w:rsidR="00B1477A" w:rsidRPr="00F03F0F" w:rsidRDefault="00B1477A" w:rsidP="000B0CC7">
            <w:pPr>
              <w:pStyle w:val="E2-"/>
              <w:rPr>
                <w:rFonts w:ascii="Times New Roman" w:hAnsi="Times New Roman" w:cs="Times New Roman"/>
              </w:rPr>
            </w:pPr>
          </w:p>
        </w:tc>
        <w:tc>
          <w:tcPr>
            <w:tcW w:w="2713" w:type="dxa"/>
            <w:tcBorders>
              <w:top w:val="single" w:sz="12" w:space="0" w:color="auto"/>
              <w:bottom w:val="single" w:sz="12" w:space="0" w:color="auto"/>
            </w:tcBorders>
            <w:vAlign w:val="center"/>
            <w:hideMark/>
          </w:tcPr>
          <w:p w:rsidR="00B1477A" w:rsidRPr="00F03F0F" w:rsidRDefault="00B1477A" w:rsidP="000B0CC7">
            <w:pPr>
              <w:pStyle w:val="E2-"/>
              <w:rPr>
                <w:rFonts w:ascii="Times New Roman" w:hAnsi="Times New Roman" w:cs="Times New Roman"/>
              </w:rPr>
            </w:pPr>
            <w:r w:rsidRPr="00F03F0F">
              <w:rPr>
                <w:rFonts w:ascii="Times New Roman" w:hAnsi="Times New Roman" w:cs="Times New Roman"/>
              </w:rPr>
              <w:t>Acceptable value</w:t>
            </w:r>
          </w:p>
        </w:tc>
        <w:tc>
          <w:tcPr>
            <w:tcW w:w="1539" w:type="dxa"/>
            <w:tcBorders>
              <w:top w:val="single" w:sz="12" w:space="0" w:color="auto"/>
              <w:bottom w:val="single" w:sz="12" w:space="0" w:color="auto"/>
            </w:tcBorders>
            <w:vAlign w:val="center"/>
          </w:tcPr>
          <w:p w:rsidR="00B1477A" w:rsidRPr="00F03F0F" w:rsidRDefault="00B1477A" w:rsidP="000B0CC7">
            <w:pPr>
              <w:pStyle w:val="E2-"/>
              <w:rPr>
                <w:rFonts w:ascii="Times New Roman" w:hAnsi="Times New Roman" w:cs="Times New Roman"/>
              </w:rPr>
            </w:pPr>
            <w:r w:rsidRPr="00F03F0F">
              <w:rPr>
                <w:rFonts w:ascii="Times New Roman" w:hAnsi="Times New Roman" w:cs="Times New Roman"/>
              </w:rPr>
              <w:t>Modified</w:t>
            </w:r>
          </w:p>
        </w:tc>
      </w:tr>
      <w:tr w:rsidR="00B1477A" w:rsidRPr="003B448B" w:rsidTr="000B0CC7">
        <w:trPr>
          <w:trHeight w:val="355"/>
        </w:trPr>
        <w:tc>
          <w:tcPr>
            <w:tcW w:w="2835" w:type="dxa"/>
            <w:vMerge w:val="restart"/>
            <w:tcBorders>
              <w:top w:val="single" w:sz="12" w:space="0" w:color="auto"/>
              <w:bottom w:val="nil"/>
            </w:tcBorders>
            <w:vAlign w:val="center"/>
            <w:hideMark/>
          </w:tcPr>
          <w:p w:rsidR="00B1477A" w:rsidRPr="001928C3" w:rsidRDefault="00B1477A" w:rsidP="000B0CC7">
            <w:pPr>
              <w:pStyle w:val="E2-"/>
              <w:rPr>
                <w:rFonts w:ascii="Times New Roman" w:hAnsi="Times New Roman" w:cs="Times New Roman"/>
              </w:rPr>
            </w:pPr>
            <w:r w:rsidRPr="001928C3">
              <w:rPr>
                <w:rFonts w:ascii="Times New Roman" w:hAnsi="Times New Roman" w:cs="Times New Roman"/>
              </w:rPr>
              <w:t>Absolute fit indicators</w:t>
            </w:r>
          </w:p>
        </w:tc>
        <w:tc>
          <w:tcPr>
            <w:tcW w:w="993" w:type="dxa"/>
            <w:tcBorders>
              <w:top w:val="single" w:sz="12" w:space="0" w:color="auto"/>
              <w:bottom w:val="nil"/>
            </w:tcBorders>
            <w:noWrap/>
            <w:hideMark/>
          </w:tcPr>
          <w:p w:rsidR="00B1477A" w:rsidRPr="001928C3" w:rsidRDefault="00B1477A" w:rsidP="000B0CC7">
            <w:pPr>
              <w:pStyle w:val="E3"/>
            </w:pPr>
            <w:r w:rsidRPr="001928C3">
              <w:t>χ2</w:t>
            </w:r>
          </w:p>
        </w:tc>
        <w:tc>
          <w:tcPr>
            <w:tcW w:w="2713" w:type="dxa"/>
            <w:tcBorders>
              <w:top w:val="single" w:sz="12" w:space="0" w:color="auto"/>
              <w:bottom w:val="nil"/>
            </w:tcBorders>
            <w:noWrap/>
            <w:hideMark/>
          </w:tcPr>
          <w:p w:rsidR="00B1477A" w:rsidRPr="001928C3" w:rsidRDefault="00B1477A" w:rsidP="000B0CC7">
            <w:pPr>
              <w:pStyle w:val="E3"/>
            </w:pPr>
            <w:r w:rsidRPr="001928C3">
              <w:t xml:space="preserve">Small </w:t>
            </w:r>
          </w:p>
        </w:tc>
        <w:tc>
          <w:tcPr>
            <w:tcW w:w="1539" w:type="dxa"/>
            <w:tcBorders>
              <w:top w:val="single" w:sz="12" w:space="0" w:color="auto"/>
              <w:bottom w:val="nil"/>
            </w:tcBorders>
          </w:tcPr>
          <w:p w:rsidR="00B1477A" w:rsidRPr="001928C3" w:rsidRDefault="00B1477A" w:rsidP="000B0CC7">
            <w:pPr>
              <w:pStyle w:val="E6-"/>
            </w:pPr>
            <w:r w:rsidRPr="001928C3">
              <w:t>3174.336</w:t>
            </w:r>
          </w:p>
        </w:tc>
      </w:tr>
      <w:tr w:rsidR="00B1477A" w:rsidRPr="003B448B" w:rsidTr="000B0CC7">
        <w:trPr>
          <w:trHeight w:val="355"/>
        </w:trPr>
        <w:tc>
          <w:tcPr>
            <w:tcW w:w="2835" w:type="dxa"/>
            <w:vMerge/>
            <w:tcBorders>
              <w:top w:val="single" w:sz="6" w:space="0" w:color="auto"/>
              <w:bottom w:val="nil"/>
            </w:tcBorders>
            <w:hideMark/>
          </w:tcPr>
          <w:p w:rsidR="00B1477A" w:rsidRPr="001928C3" w:rsidRDefault="00B1477A" w:rsidP="000B0CC7">
            <w:pPr>
              <w:pStyle w:val="E2-"/>
              <w:rPr>
                <w:rFonts w:ascii="Times New Roman" w:hAnsi="Times New Roman" w:cs="Times New Roman"/>
              </w:rPr>
            </w:pPr>
          </w:p>
        </w:tc>
        <w:tc>
          <w:tcPr>
            <w:tcW w:w="993" w:type="dxa"/>
            <w:tcBorders>
              <w:top w:val="nil"/>
              <w:bottom w:val="nil"/>
            </w:tcBorders>
            <w:noWrap/>
            <w:hideMark/>
          </w:tcPr>
          <w:p w:rsidR="00B1477A" w:rsidRPr="001928C3" w:rsidRDefault="00B1477A" w:rsidP="000B0CC7">
            <w:pPr>
              <w:pStyle w:val="E3"/>
            </w:pPr>
            <w:r w:rsidRPr="001928C3">
              <w:t>χ2/df</w:t>
            </w:r>
          </w:p>
        </w:tc>
        <w:tc>
          <w:tcPr>
            <w:tcW w:w="2713" w:type="dxa"/>
            <w:tcBorders>
              <w:top w:val="nil"/>
              <w:bottom w:val="nil"/>
            </w:tcBorders>
            <w:noWrap/>
            <w:hideMark/>
          </w:tcPr>
          <w:p w:rsidR="00B1477A" w:rsidRPr="001928C3" w:rsidRDefault="00B1477A" w:rsidP="000B0CC7">
            <w:pPr>
              <w:pStyle w:val="E3"/>
            </w:pPr>
            <w:r w:rsidRPr="001928C3">
              <w:t xml:space="preserve">&lt;5 </w:t>
            </w:r>
          </w:p>
        </w:tc>
        <w:tc>
          <w:tcPr>
            <w:tcW w:w="1539" w:type="dxa"/>
            <w:tcBorders>
              <w:top w:val="nil"/>
              <w:bottom w:val="nil"/>
            </w:tcBorders>
          </w:tcPr>
          <w:p w:rsidR="00B1477A" w:rsidRPr="001928C3" w:rsidRDefault="00B1477A" w:rsidP="000B0CC7">
            <w:pPr>
              <w:pStyle w:val="E6-"/>
            </w:pPr>
            <w:r w:rsidRPr="001928C3">
              <w:t>2.862</w:t>
            </w:r>
          </w:p>
        </w:tc>
      </w:tr>
      <w:tr w:rsidR="00B1477A" w:rsidRPr="003B448B" w:rsidTr="000B0CC7">
        <w:trPr>
          <w:trHeight w:val="370"/>
        </w:trPr>
        <w:tc>
          <w:tcPr>
            <w:tcW w:w="2835" w:type="dxa"/>
            <w:vMerge/>
            <w:tcBorders>
              <w:top w:val="single" w:sz="6" w:space="0" w:color="auto"/>
              <w:bottom w:val="nil"/>
            </w:tcBorders>
            <w:hideMark/>
          </w:tcPr>
          <w:p w:rsidR="00B1477A" w:rsidRPr="001928C3" w:rsidRDefault="00B1477A" w:rsidP="000B0CC7">
            <w:pPr>
              <w:pStyle w:val="E2-"/>
              <w:rPr>
                <w:rFonts w:ascii="Times New Roman" w:hAnsi="Times New Roman" w:cs="Times New Roman"/>
              </w:rPr>
            </w:pPr>
          </w:p>
        </w:tc>
        <w:tc>
          <w:tcPr>
            <w:tcW w:w="993" w:type="dxa"/>
            <w:tcBorders>
              <w:top w:val="nil"/>
              <w:bottom w:val="nil"/>
            </w:tcBorders>
            <w:noWrap/>
            <w:hideMark/>
          </w:tcPr>
          <w:p w:rsidR="00B1477A" w:rsidRPr="001928C3" w:rsidRDefault="00B1477A" w:rsidP="000B0CC7">
            <w:pPr>
              <w:pStyle w:val="E3"/>
            </w:pPr>
            <w:r w:rsidRPr="001928C3">
              <w:t>GFI</w:t>
            </w:r>
          </w:p>
        </w:tc>
        <w:tc>
          <w:tcPr>
            <w:tcW w:w="2713" w:type="dxa"/>
            <w:tcBorders>
              <w:top w:val="nil"/>
              <w:bottom w:val="nil"/>
            </w:tcBorders>
            <w:noWrap/>
            <w:hideMark/>
          </w:tcPr>
          <w:p w:rsidR="00B1477A" w:rsidRPr="001928C3" w:rsidRDefault="00B1477A" w:rsidP="000B0CC7">
            <w:pPr>
              <w:pStyle w:val="E3"/>
            </w:pPr>
            <w:r w:rsidRPr="001928C3">
              <w:t xml:space="preserve">&gt;0.8 is good </w:t>
            </w:r>
          </w:p>
        </w:tc>
        <w:tc>
          <w:tcPr>
            <w:tcW w:w="1539" w:type="dxa"/>
            <w:tcBorders>
              <w:top w:val="nil"/>
              <w:bottom w:val="nil"/>
            </w:tcBorders>
          </w:tcPr>
          <w:p w:rsidR="00B1477A" w:rsidRPr="001928C3" w:rsidRDefault="00B1477A" w:rsidP="000B0CC7">
            <w:pPr>
              <w:pStyle w:val="E6-"/>
            </w:pPr>
            <w:r w:rsidRPr="001928C3">
              <w:t>0.786</w:t>
            </w:r>
          </w:p>
        </w:tc>
      </w:tr>
      <w:tr w:rsidR="00B1477A" w:rsidRPr="003B448B" w:rsidTr="000B0CC7">
        <w:trPr>
          <w:trHeight w:val="370"/>
        </w:trPr>
        <w:tc>
          <w:tcPr>
            <w:tcW w:w="2835" w:type="dxa"/>
            <w:vMerge/>
            <w:tcBorders>
              <w:top w:val="single" w:sz="6" w:space="0" w:color="auto"/>
              <w:bottom w:val="nil"/>
            </w:tcBorders>
          </w:tcPr>
          <w:p w:rsidR="00B1477A" w:rsidRPr="001928C3" w:rsidRDefault="00B1477A" w:rsidP="000B0CC7">
            <w:pPr>
              <w:pStyle w:val="E2-"/>
              <w:rPr>
                <w:rFonts w:ascii="Times New Roman" w:hAnsi="Times New Roman" w:cs="Times New Roman"/>
              </w:rPr>
            </w:pPr>
          </w:p>
        </w:tc>
        <w:tc>
          <w:tcPr>
            <w:tcW w:w="993" w:type="dxa"/>
            <w:tcBorders>
              <w:top w:val="nil"/>
              <w:bottom w:val="nil"/>
            </w:tcBorders>
            <w:noWrap/>
          </w:tcPr>
          <w:p w:rsidR="00B1477A" w:rsidRPr="001928C3" w:rsidRDefault="00B1477A" w:rsidP="000B0CC7">
            <w:pPr>
              <w:pStyle w:val="E3"/>
            </w:pPr>
            <w:r w:rsidRPr="001928C3">
              <w:t>AGFI</w:t>
            </w:r>
          </w:p>
        </w:tc>
        <w:tc>
          <w:tcPr>
            <w:tcW w:w="2713" w:type="dxa"/>
            <w:tcBorders>
              <w:top w:val="nil"/>
              <w:bottom w:val="nil"/>
            </w:tcBorders>
            <w:noWrap/>
          </w:tcPr>
          <w:p w:rsidR="00B1477A" w:rsidRPr="001928C3" w:rsidRDefault="00B1477A" w:rsidP="000B0CC7">
            <w:pPr>
              <w:pStyle w:val="E3"/>
            </w:pPr>
            <w:r w:rsidRPr="001928C3">
              <w:t xml:space="preserve">&gt;0.8 is acceptable  </w:t>
            </w:r>
          </w:p>
        </w:tc>
        <w:tc>
          <w:tcPr>
            <w:tcW w:w="1539" w:type="dxa"/>
            <w:tcBorders>
              <w:top w:val="nil"/>
              <w:bottom w:val="nil"/>
            </w:tcBorders>
          </w:tcPr>
          <w:p w:rsidR="00B1477A" w:rsidRPr="001928C3" w:rsidRDefault="00B1477A" w:rsidP="000B0CC7">
            <w:pPr>
              <w:pStyle w:val="E6-"/>
            </w:pPr>
            <w:r w:rsidRPr="001928C3">
              <w:t>0.763</w:t>
            </w:r>
          </w:p>
        </w:tc>
      </w:tr>
      <w:tr w:rsidR="00B1477A" w:rsidRPr="003B448B" w:rsidTr="000B0CC7">
        <w:trPr>
          <w:trHeight w:val="370"/>
        </w:trPr>
        <w:tc>
          <w:tcPr>
            <w:tcW w:w="2835" w:type="dxa"/>
            <w:vMerge/>
            <w:tcBorders>
              <w:top w:val="single" w:sz="6" w:space="0" w:color="auto"/>
              <w:bottom w:val="nil"/>
            </w:tcBorders>
          </w:tcPr>
          <w:p w:rsidR="00B1477A" w:rsidRPr="001928C3" w:rsidRDefault="00B1477A" w:rsidP="000B0CC7">
            <w:pPr>
              <w:pStyle w:val="E2-"/>
              <w:rPr>
                <w:rFonts w:ascii="Times New Roman" w:hAnsi="Times New Roman" w:cs="Times New Roman"/>
              </w:rPr>
            </w:pPr>
          </w:p>
        </w:tc>
        <w:tc>
          <w:tcPr>
            <w:tcW w:w="993" w:type="dxa"/>
            <w:tcBorders>
              <w:top w:val="nil"/>
              <w:bottom w:val="nil"/>
            </w:tcBorders>
            <w:noWrap/>
          </w:tcPr>
          <w:p w:rsidR="00B1477A" w:rsidRPr="001928C3" w:rsidRDefault="00B1477A" w:rsidP="000B0CC7">
            <w:pPr>
              <w:pStyle w:val="E3"/>
            </w:pPr>
            <w:r w:rsidRPr="001928C3">
              <w:t>RMSEA</w:t>
            </w:r>
          </w:p>
        </w:tc>
        <w:tc>
          <w:tcPr>
            <w:tcW w:w="2713" w:type="dxa"/>
            <w:tcBorders>
              <w:top w:val="nil"/>
              <w:bottom w:val="nil"/>
            </w:tcBorders>
            <w:noWrap/>
          </w:tcPr>
          <w:p w:rsidR="00B1477A" w:rsidRPr="001928C3" w:rsidRDefault="00B1477A" w:rsidP="000B0CC7">
            <w:pPr>
              <w:pStyle w:val="E3"/>
            </w:pPr>
            <w:r w:rsidRPr="001928C3">
              <w:t>&lt;0.08</w:t>
            </w:r>
          </w:p>
        </w:tc>
        <w:tc>
          <w:tcPr>
            <w:tcW w:w="1539" w:type="dxa"/>
            <w:tcBorders>
              <w:top w:val="nil"/>
              <w:bottom w:val="nil"/>
            </w:tcBorders>
          </w:tcPr>
          <w:p w:rsidR="00B1477A" w:rsidRPr="001928C3" w:rsidRDefault="00B1477A" w:rsidP="000B0CC7">
            <w:pPr>
              <w:pStyle w:val="E6-"/>
            </w:pPr>
            <w:r w:rsidRPr="001928C3">
              <w:t>0.056</w:t>
            </w:r>
          </w:p>
        </w:tc>
      </w:tr>
      <w:tr w:rsidR="00B1477A" w:rsidRPr="004D4C41" w:rsidTr="000B0CC7">
        <w:trPr>
          <w:trHeight w:val="370"/>
        </w:trPr>
        <w:tc>
          <w:tcPr>
            <w:tcW w:w="2835" w:type="dxa"/>
            <w:vMerge w:val="restart"/>
            <w:tcBorders>
              <w:top w:val="nil"/>
            </w:tcBorders>
            <w:vAlign w:val="center"/>
          </w:tcPr>
          <w:p w:rsidR="00B1477A" w:rsidRPr="001928C3" w:rsidRDefault="00B1477A" w:rsidP="000B0CC7">
            <w:pPr>
              <w:pStyle w:val="E2-"/>
              <w:rPr>
                <w:rFonts w:ascii="Times New Roman" w:hAnsi="Times New Roman" w:cs="Times New Roman"/>
              </w:rPr>
            </w:pPr>
            <w:r w:rsidRPr="001928C3">
              <w:rPr>
                <w:rFonts w:ascii="Times New Roman" w:hAnsi="Times New Roman" w:cs="Times New Roman"/>
              </w:rPr>
              <w:t>Incremental fit indicators</w:t>
            </w:r>
          </w:p>
        </w:tc>
        <w:tc>
          <w:tcPr>
            <w:tcW w:w="993" w:type="dxa"/>
            <w:tcBorders>
              <w:top w:val="nil"/>
              <w:bottom w:val="nil"/>
            </w:tcBorders>
            <w:noWrap/>
          </w:tcPr>
          <w:p w:rsidR="00B1477A" w:rsidRPr="001928C3" w:rsidRDefault="00B1477A" w:rsidP="000B0CC7">
            <w:pPr>
              <w:pStyle w:val="E3"/>
            </w:pPr>
            <w:r w:rsidRPr="001928C3">
              <w:t>p-value</w:t>
            </w:r>
          </w:p>
        </w:tc>
        <w:tc>
          <w:tcPr>
            <w:tcW w:w="2713" w:type="dxa"/>
            <w:tcBorders>
              <w:top w:val="nil"/>
              <w:bottom w:val="nil"/>
            </w:tcBorders>
            <w:noWrap/>
          </w:tcPr>
          <w:p w:rsidR="00B1477A" w:rsidRPr="001928C3" w:rsidRDefault="00B1477A" w:rsidP="000B0CC7">
            <w:pPr>
              <w:pStyle w:val="E3"/>
            </w:pPr>
            <w:r w:rsidRPr="001928C3">
              <w:t>&gt;0.05</w:t>
            </w:r>
          </w:p>
        </w:tc>
        <w:tc>
          <w:tcPr>
            <w:tcW w:w="1539" w:type="dxa"/>
            <w:tcBorders>
              <w:top w:val="nil"/>
              <w:bottom w:val="nil"/>
            </w:tcBorders>
          </w:tcPr>
          <w:p w:rsidR="00B1477A" w:rsidRPr="001928C3" w:rsidRDefault="00B1477A" w:rsidP="000B0CC7">
            <w:pPr>
              <w:pStyle w:val="E6-"/>
            </w:pPr>
            <w:r w:rsidRPr="001928C3">
              <w:t>0</w:t>
            </w:r>
          </w:p>
        </w:tc>
      </w:tr>
      <w:tr w:rsidR="00B1477A" w:rsidRPr="004D4C41" w:rsidTr="000B0CC7">
        <w:trPr>
          <w:trHeight w:val="370"/>
        </w:trPr>
        <w:tc>
          <w:tcPr>
            <w:tcW w:w="2835" w:type="dxa"/>
            <w:vMerge/>
          </w:tcPr>
          <w:p w:rsidR="00B1477A" w:rsidRPr="001928C3" w:rsidRDefault="00B1477A" w:rsidP="000B0CC7">
            <w:pPr>
              <w:pStyle w:val="E6-"/>
            </w:pPr>
          </w:p>
        </w:tc>
        <w:tc>
          <w:tcPr>
            <w:tcW w:w="993" w:type="dxa"/>
            <w:tcBorders>
              <w:top w:val="nil"/>
              <w:bottom w:val="nil"/>
            </w:tcBorders>
            <w:noWrap/>
          </w:tcPr>
          <w:p w:rsidR="00B1477A" w:rsidRPr="001928C3" w:rsidRDefault="00B1477A" w:rsidP="000B0CC7">
            <w:pPr>
              <w:pStyle w:val="E3"/>
            </w:pPr>
            <w:r w:rsidRPr="001928C3">
              <w:t>df</w:t>
            </w:r>
          </w:p>
        </w:tc>
        <w:tc>
          <w:tcPr>
            <w:tcW w:w="2713" w:type="dxa"/>
            <w:tcBorders>
              <w:top w:val="nil"/>
              <w:bottom w:val="nil"/>
            </w:tcBorders>
            <w:noWrap/>
          </w:tcPr>
          <w:p w:rsidR="00B1477A" w:rsidRPr="001928C3" w:rsidRDefault="00B1477A" w:rsidP="000B0CC7">
            <w:pPr>
              <w:pStyle w:val="E3"/>
            </w:pPr>
            <w:r w:rsidRPr="001928C3">
              <w:t>-</w:t>
            </w:r>
          </w:p>
        </w:tc>
        <w:tc>
          <w:tcPr>
            <w:tcW w:w="1539" w:type="dxa"/>
            <w:tcBorders>
              <w:top w:val="nil"/>
              <w:bottom w:val="nil"/>
            </w:tcBorders>
          </w:tcPr>
          <w:p w:rsidR="00B1477A" w:rsidRPr="001928C3" w:rsidRDefault="00B1477A" w:rsidP="000B0CC7">
            <w:pPr>
              <w:pStyle w:val="E6-"/>
            </w:pPr>
            <w:r w:rsidRPr="001928C3">
              <w:t>1109</w:t>
            </w:r>
          </w:p>
        </w:tc>
      </w:tr>
      <w:tr w:rsidR="00B1477A" w:rsidRPr="004D4C41" w:rsidTr="000B0CC7">
        <w:trPr>
          <w:trHeight w:val="370"/>
        </w:trPr>
        <w:tc>
          <w:tcPr>
            <w:tcW w:w="3828" w:type="dxa"/>
            <w:gridSpan w:val="2"/>
            <w:tcBorders>
              <w:top w:val="single" w:sz="12" w:space="0" w:color="auto"/>
              <w:bottom w:val="nil"/>
            </w:tcBorders>
          </w:tcPr>
          <w:p w:rsidR="00B1477A" w:rsidRPr="004D4C41" w:rsidRDefault="00B1477A" w:rsidP="000B0CC7">
            <w:pPr>
              <w:pStyle w:val="E2-"/>
              <w:rPr>
                <w:color w:val="FF0000"/>
              </w:rPr>
            </w:pPr>
          </w:p>
        </w:tc>
        <w:tc>
          <w:tcPr>
            <w:tcW w:w="2713" w:type="dxa"/>
            <w:tcBorders>
              <w:top w:val="single" w:sz="12" w:space="0" w:color="auto"/>
              <w:bottom w:val="nil"/>
            </w:tcBorders>
            <w:noWrap/>
          </w:tcPr>
          <w:p w:rsidR="00B1477A" w:rsidRPr="004D4C41" w:rsidRDefault="00B1477A" w:rsidP="000B0CC7">
            <w:pPr>
              <w:pStyle w:val="E2-"/>
              <w:rPr>
                <w:color w:val="FF0000"/>
              </w:rPr>
            </w:pPr>
          </w:p>
        </w:tc>
        <w:tc>
          <w:tcPr>
            <w:tcW w:w="1539" w:type="dxa"/>
            <w:tcBorders>
              <w:top w:val="single" w:sz="12" w:space="0" w:color="auto"/>
              <w:bottom w:val="nil"/>
            </w:tcBorders>
          </w:tcPr>
          <w:p w:rsidR="00B1477A" w:rsidRPr="004D4C41" w:rsidRDefault="00B1477A" w:rsidP="000B0CC7">
            <w:pPr>
              <w:pStyle w:val="E2-"/>
              <w:rPr>
                <w:color w:val="FF0000"/>
              </w:rPr>
            </w:pPr>
          </w:p>
        </w:tc>
      </w:tr>
    </w:tbl>
    <w:p w:rsidR="00B1477A" w:rsidRPr="00174DB5" w:rsidRDefault="00B1477A" w:rsidP="00B1477A">
      <w:pPr>
        <w:pStyle w:val="D31-1"/>
        <w:spacing w:before="180"/>
      </w:pPr>
      <w:r w:rsidRPr="00174DB5">
        <w:t>Overall Structural Causal Model Analysis</w:t>
      </w:r>
    </w:p>
    <w:p w:rsidR="00B1477A" w:rsidRPr="00174DB5" w:rsidRDefault="00B1477A" w:rsidP="00B1477A">
      <w:pPr>
        <w:pStyle w:val="B24"/>
        <w:ind w:firstLine="416"/>
      </w:pPr>
      <w:r w:rsidRPr="00174DB5">
        <w:t xml:space="preserve">The results of the structural equation modeling (SEM) provide empirical support for the hypothesized causal relationships within the psychological model of marine leisure sports. The standardized path coefficients and their respective directions are detailed below: Risk Perception to Competence and Self-Efficacy: The structural path analysis indicates that Risk Perception (Perceive) exert a significant positive influence on Perceived Competence (Competence) with a standardized path coefficient of </w:t>
      </w:r>
      <w:r w:rsidRPr="00174DB5">
        <w:rPr>
          <w:rFonts w:hint="eastAsia"/>
        </w:rPr>
        <w:t>β</w:t>
      </w:r>
      <w:r w:rsidRPr="00174DB5">
        <w:t xml:space="preserve"> = 0.35. Furthermore, risk perception also demonstrated a positive, albeit lower, influence on Self-Efficacy with a coefficient of </w:t>
      </w:r>
      <w:r w:rsidRPr="00174DB5">
        <w:rPr>
          <w:rFonts w:hint="eastAsia"/>
        </w:rPr>
        <w:t>β</w:t>
      </w:r>
      <w:r w:rsidRPr="00174DB5">
        <w:t xml:space="preserve"> = 0.09. These findings suggest that within the marine sports context, a participant's awareness of environmental risk serves as a catalyst for engaging their personal skills and confidence. The Drivers of Flow Experience: The model highlights that both perceived competence and self-efficacy are </w:t>
      </w:r>
      <w:r w:rsidRPr="00174DB5">
        <w:lastRenderedPageBreak/>
        <w:t xml:space="preserve">critical antecedents to the peak psychological state. Specifically, Perceived Competence significantly predicts Flow Experience with a coefficient of </w:t>
      </w:r>
      <w:r w:rsidRPr="00174DB5">
        <w:rPr>
          <w:rFonts w:hint="eastAsia"/>
        </w:rPr>
        <w:t>β</w:t>
      </w:r>
      <w:r w:rsidRPr="00174DB5">
        <w:t xml:space="preserve"> = 0.55. Notably, Self-Efficacy emerged as the strongest predictor in the model, showing a substantial positive impact on Flow Experience with a standardized coefficient of </w:t>
      </w:r>
      <w:r w:rsidRPr="00174DB5">
        <w:rPr>
          <w:rFonts w:hint="eastAsia"/>
        </w:rPr>
        <w:t>β</w:t>
      </w:r>
      <w:r w:rsidRPr="00174DB5">
        <w:t xml:space="preserve"> = 2.29. The Mediating Causal Path: As illustrated in the model, the influence of risk perception on the flow experience is not entirely direct; rather, it is mediated through the individual's sense of capability. The path from Competence to Flow (</w:t>
      </w:r>
      <w:r w:rsidRPr="00174DB5">
        <w:rPr>
          <w:rFonts w:hint="eastAsia"/>
        </w:rPr>
        <w:t>β</w:t>
      </w:r>
      <w:r w:rsidRPr="00174DB5">
        <w:t xml:space="preserve"> = 0.55$) and the internal link between Competence and Flow indicate that as participants perceive themselves as more competent and efficacious in managing risks, they are more likely to reach a state of total immersion (Flow). The overall structural model suggests a sequential psychological trajectory: an initial awareness of risk drives the assessment of one’s technical competence and self-belief, which collectively facilitate the transition into a flow state. The high coefficient from self-efficacy to flow emphasizes that personal belief in overcoming challenges is the most vital engine for achieving a peak experience in aquatic environments.</w:t>
      </w:r>
    </w:p>
    <w:p w:rsidR="00B1477A" w:rsidRDefault="00604938" w:rsidP="00B1477A">
      <w:pPr>
        <w:jc w:val="center"/>
        <w:rPr>
          <w:b/>
          <w:bCs/>
          <w:color w:val="FF0000"/>
        </w:rPr>
      </w:pPr>
      <w:r>
        <w:rPr>
          <w:noProof/>
        </w:rPr>
        <w:drawing>
          <wp:inline distT="0" distB="0" distL="0" distR="0" wp14:anchorId="3B5992A3" wp14:editId="765B3E9E">
            <wp:extent cx="3866255" cy="4636185"/>
            <wp:effectExtent l="0" t="0" r="127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880" b="4459"/>
                    <a:stretch/>
                  </pic:blipFill>
                  <pic:spPr bwMode="auto">
                    <a:xfrm>
                      <a:off x="0" y="0"/>
                      <a:ext cx="3946121" cy="4731955"/>
                    </a:xfrm>
                    <a:prstGeom prst="rect">
                      <a:avLst/>
                    </a:prstGeom>
                    <a:ln>
                      <a:noFill/>
                    </a:ln>
                    <a:extLst>
                      <a:ext uri="{53640926-AAD7-44D8-BBD7-CCE9431645EC}">
                        <a14:shadowObscured xmlns:a14="http://schemas.microsoft.com/office/drawing/2010/main"/>
                      </a:ext>
                    </a:extLst>
                  </pic:spPr>
                </pic:pic>
              </a:graphicData>
            </a:graphic>
          </wp:inline>
        </w:drawing>
      </w:r>
    </w:p>
    <w:p w:rsidR="00B1477A" w:rsidRPr="00B1477A" w:rsidRDefault="00B1477A" w:rsidP="00B1477A">
      <w:pPr>
        <w:spacing w:line="60" w:lineRule="auto"/>
        <w:jc w:val="center"/>
        <w:rPr>
          <w:rFonts w:ascii="Times New Roman" w:hAnsi="Times New Roman" w:cs="Times New Roman"/>
        </w:rPr>
      </w:pPr>
      <w:r w:rsidRPr="00B1477A">
        <w:rPr>
          <w:rFonts w:ascii="Times New Roman" w:hAnsi="Times New Roman" w:cs="Times New Roman"/>
          <w:b/>
          <w:bCs/>
        </w:rPr>
        <w:t xml:space="preserve">Fig 1. </w:t>
      </w:r>
      <w:r w:rsidRPr="00B1477A">
        <w:rPr>
          <w:rFonts w:ascii="Times New Roman" w:hAnsi="Times New Roman" w:cs="Times New Roman"/>
        </w:rPr>
        <w:t>Structural Equation Modelling</w:t>
      </w:r>
    </w:p>
    <w:p w:rsidR="00C52C6B" w:rsidRPr="00174DB5" w:rsidRDefault="00C52C6B" w:rsidP="00C52C6B">
      <w:pPr>
        <w:pStyle w:val="D31-1"/>
        <w:spacing w:before="180"/>
      </w:pPr>
      <w:bookmarkStart w:id="13" w:name="_Toc223600597"/>
      <w:r w:rsidRPr="00174DB5">
        <w:lastRenderedPageBreak/>
        <w:t>Mediation Analysis</w:t>
      </w:r>
    </w:p>
    <w:p w:rsidR="00C52C6B" w:rsidRPr="00174DB5" w:rsidRDefault="00C52C6B" w:rsidP="00C52C6B">
      <w:pPr>
        <w:pStyle w:val="B24"/>
        <w:ind w:firstLine="416"/>
      </w:pPr>
      <w:r w:rsidRPr="00174DB5">
        <w:t>This study employed the bootstrap approach proposed by Efron (1979) to conduct statistical inference, utilizing confidence intervals to estimate indirect effects and examine mediation. The criteria for assessing mediation followed the guidelines of Preacher and Hayes (2004). Specifically, effects were considered statistically significant when the 95% confidence intervals excluded zero. According to these guidelines, full mediation is indicated when the direct effect is non-significant while the indirect effect is significant, whereas partial mediation is supported when both the direct and indirect effects are significant. The empirical results (Table 3) demonstrated two significant mediation pathways. First, the indirect effect of Perceived Competence between Risk Perception and Flow Experience was 0.193. Both the bias-corrected (BC) and percentile (PC) 95% confidence intervals (0.125, 0.284) and (0.118, 0.276), respectively excluded zero with a p-value below 0.001, indicating a significant mediating effect. Second, the indirect effect of Self-efficacy between Risk Perception and Flow Experience was 0.206. Its BC and PC 95% confidence intervals (0.042, 0.385) and (0.038, 0.374) also excluded zero (p &lt; 0.05), confirming its role as a significant mediator. Regarding the direct effects, the path from Risk Perception to Flow Experience was significant (β = 0.15, p &lt; 0.05), with a confidence interval (0.054, 0.268) that did not include zero. Additionally, the total effect of Risk Perception on Flow Experience was 0.549 (p &lt; 0.001). Based on the criteria proposed by Preacher and Hayes (2004), since the indirect, direct, and total effects were all simultaneously significant, the presence of partial mediation was confirmed. Overall, both perceived competence and self-efficacy serve as significant partial mediators, explaining how environmental risk perception is transformed into a peak flow experience.</w:t>
      </w:r>
    </w:p>
    <w:p w:rsidR="00C52C6B" w:rsidRPr="00CE3059" w:rsidRDefault="00C52C6B" w:rsidP="00C52C6B">
      <w:pPr>
        <w:pStyle w:val="E1"/>
        <w:spacing w:before="360"/>
        <w:rPr>
          <w:rFonts w:ascii="Times New Roman" w:hAnsi="Times New Roman"/>
        </w:rPr>
      </w:pPr>
      <w:r w:rsidRPr="00CE3059">
        <w:rPr>
          <w:rFonts w:ascii="Times New Roman" w:hAnsi="Times New Roman" w:hint="eastAsia"/>
        </w:rPr>
        <w:t xml:space="preserve">Table 3. </w:t>
      </w:r>
      <w:bookmarkEnd w:id="13"/>
      <w:r w:rsidRPr="00CE3059">
        <w:rPr>
          <w:rFonts w:ascii="Times New Roman" w:hAnsi="Times New Roman"/>
        </w:rPr>
        <w:t>Summary of the Mediating Effect of Flow Experience Value</w:t>
      </w:r>
    </w:p>
    <w:tbl>
      <w:tblPr>
        <w:tblW w:w="7994" w:type="dxa"/>
        <w:tblBorders>
          <w:top w:val="single" w:sz="12" w:space="0" w:color="auto"/>
          <w:bottom w:val="single" w:sz="12" w:space="0" w:color="auto"/>
          <w:insideH w:val="single" w:sz="6" w:space="0" w:color="auto"/>
        </w:tblBorders>
        <w:tblCellMar>
          <w:left w:w="28" w:type="dxa"/>
          <w:right w:w="28" w:type="dxa"/>
        </w:tblCellMar>
        <w:tblLook w:val="04A0" w:firstRow="1" w:lastRow="0" w:firstColumn="1" w:lastColumn="0" w:noHBand="0" w:noVBand="1"/>
      </w:tblPr>
      <w:tblGrid>
        <w:gridCol w:w="1413"/>
        <w:gridCol w:w="714"/>
        <w:gridCol w:w="992"/>
        <w:gridCol w:w="1417"/>
        <w:gridCol w:w="1266"/>
        <w:gridCol w:w="1268"/>
        <w:gridCol w:w="924"/>
      </w:tblGrid>
      <w:tr w:rsidR="00C52C6B" w:rsidRPr="00CE3059" w:rsidTr="000B0CC7">
        <w:trPr>
          <w:trHeight w:val="206"/>
        </w:trPr>
        <w:tc>
          <w:tcPr>
            <w:tcW w:w="7994" w:type="dxa"/>
            <w:gridSpan w:val="7"/>
          </w:tcPr>
          <w:p w:rsidR="00C52C6B" w:rsidRPr="00CE3059" w:rsidRDefault="00C52C6B" w:rsidP="000B0CC7">
            <w:pPr>
              <w:pStyle w:val="E2-"/>
              <w:rPr>
                <w:rFonts w:ascii="Times New Roman" w:hAnsi="Times New Roman"/>
              </w:rPr>
            </w:pPr>
            <w:r w:rsidRPr="00CE3059">
              <w:rPr>
                <w:rFonts w:ascii="Times New Roman" w:hAnsi="Times New Roman" w:hint="eastAsia"/>
              </w:rPr>
              <w:t>P</w:t>
            </w:r>
            <w:r w:rsidRPr="00CE3059">
              <w:rPr>
                <w:rFonts w:ascii="Times New Roman" w:hAnsi="Times New Roman"/>
              </w:rPr>
              <w:t>erceive</w:t>
            </w:r>
            <w:r w:rsidRPr="00CE3059">
              <w:rPr>
                <w:rFonts w:ascii="Times New Roman" w:hAnsi="Times New Roman" w:hint="eastAsia"/>
              </w:rPr>
              <w:t xml:space="preserve"> (X)</w:t>
            </w:r>
            <w:r w:rsidRPr="00CE3059">
              <w:rPr>
                <w:rFonts w:ascii="Times New Roman" w:hAnsi="Times New Roman" w:hint="eastAsia"/>
              </w:rPr>
              <w:t>→</w:t>
            </w:r>
            <w:r w:rsidRPr="00CE3059">
              <w:rPr>
                <w:rFonts w:ascii="Times New Roman" w:hAnsi="Times New Roman" w:hint="eastAsia"/>
              </w:rPr>
              <w:t>C</w:t>
            </w:r>
            <w:r w:rsidRPr="00CE3059">
              <w:rPr>
                <w:rFonts w:ascii="Times New Roman" w:hAnsi="Times New Roman"/>
              </w:rPr>
              <w:t>ompetence (M</w:t>
            </w:r>
            <w:r w:rsidRPr="00CE3059">
              <w:rPr>
                <w:rFonts w:ascii="Times New Roman" w:hAnsi="Times New Roman"/>
                <w:vertAlign w:val="subscript"/>
              </w:rPr>
              <w:t>1</w:t>
            </w:r>
            <w:r w:rsidRPr="00CE3059">
              <w:rPr>
                <w:rFonts w:ascii="Times New Roman" w:hAnsi="Times New Roman"/>
              </w:rPr>
              <w:t>)</w:t>
            </w:r>
            <w:r w:rsidRPr="00CE3059">
              <w:rPr>
                <w:rFonts w:ascii="Times New Roman" w:hAnsi="Times New Roman" w:hint="eastAsia"/>
              </w:rPr>
              <w:t>S</w:t>
            </w:r>
            <w:r w:rsidRPr="00CE3059">
              <w:rPr>
                <w:rFonts w:ascii="Times New Roman" w:hAnsi="Times New Roman"/>
              </w:rPr>
              <w:t xml:space="preserve">elf-Efficacy </w:t>
            </w:r>
            <w:r w:rsidRPr="00CE3059">
              <w:rPr>
                <w:rFonts w:ascii="Times New Roman" w:hAnsi="Times New Roman" w:hint="eastAsia"/>
              </w:rPr>
              <w:t>(M</w:t>
            </w:r>
            <w:r w:rsidRPr="00CE3059">
              <w:rPr>
                <w:rFonts w:ascii="Times New Roman" w:hAnsi="Times New Roman"/>
                <w:vertAlign w:val="subscript"/>
              </w:rPr>
              <w:t>2</w:t>
            </w:r>
            <w:r w:rsidRPr="00CE3059">
              <w:rPr>
                <w:rFonts w:ascii="Times New Roman" w:hAnsi="Times New Roman" w:hint="eastAsia"/>
              </w:rPr>
              <w:t>)</w:t>
            </w:r>
            <w:r w:rsidRPr="00CE3059">
              <w:rPr>
                <w:rFonts w:ascii="Times New Roman" w:hAnsi="Times New Roman" w:hint="eastAsia"/>
              </w:rPr>
              <w:t>→</w:t>
            </w:r>
            <w:r w:rsidRPr="00CE3059">
              <w:rPr>
                <w:rFonts w:ascii="Times New Roman" w:hAnsi="Times New Roman" w:hint="eastAsia"/>
              </w:rPr>
              <w:t>F</w:t>
            </w:r>
            <w:r w:rsidRPr="00CE3059">
              <w:rPr>
                <w:rFonts w:ascii="Times New Roman" w:hAnsi="Times New Roman"/>
              </w:rPr>
              <w:t xml:space="preserve">low </w:t>
            </w:r>
            <w:r w:rsidRPr="00CE3059">
              <w:rPr>
                <w:rFonts w:ascii="Times New Roman" w:hAnsi="Times New Roman" w:hint="eastAsia"/>
              </w:rPr>
              <w:t>(Y)</w:t>
            </w:r>
          </w:p>
        </w:tc>
      </w:tr>
      <w:tr w:rsidR="00C52C6B" w:rsidRPr="00CE3059" w:rsidTr="000B0CC7">
        <w:trPr>
          <w:trHeight w:val="198"/>
        </w:trPr>
        <w:tc>
          <w:tcPr>
            <w:tcW w:w="1413" w:type="dxa"/>
            <w:vMerge w:val="restart"/>
          </w:tcPr>
          <w:p w:rsidR="00C52C6B" w:rsidRPr="00CE3059" w:rsidRDefault="00C52C6B" w:rsidP="000B0CC7">
            <w:pPr>
              <w:pStyle w:val="E2-"/>
              <w:rPr>
                <w:rFonts w:ascii="Times New Roman" w:hAnsi="Times New Roman"/>
              </w:rPr>
            </w:pPr>
          </w:p>
        </w:tc>
        <w:tc>
          <w:tcPr>
            <w:tcW w:w="714" w:type="dxa"/>
            <w:vMerge w:val="restart"/>
            <w:vAlign w:val="center"/>
          </w:tcPr>
          <w:p w:rsidR="00C52C6B" w:rsidRPr="00CE3059" w:rsidRDefault="00C52C6B" w:rsidP="000B0CC7">
            <w:pPr>
              <w:pStyle w:val="E2-"/>
              <w:rPr>
                <w:rFonts w:ascii="Times New Roman" w:hAnsi="Times New Roman"/>
              </w:rPr>
            </w:pPr>
          </w:p>
        </w:tc>
        <w:tc>
          <w:tcPr>
            <w:tcW w:w="992" w:type="dxa"/>
            <w:vMerge w:val="restart"/>
            <w:noWrap/>
            <w:vAlign w:val="center"/>
          </w:tcPr>
          <w:p w:rsidR="00C52C6B" w:rsidRPr="00CE3059" w:rsidRDefault="00C52C6B" w:rsidP="000B0CC7">
            <w:pPr>
              <w:pStyle w:val="E2-"/>
              <w:rPr>
                <w:rFonts w:ascii="Times New Roman" w:hAnsi="Times New Roman"/>
              </w:rPr>
            </w:pPr>
            <w:r w:rsidRPr="00CE3059">
              <w:rPr>
                <w:rFonts w:ascii="Times New Roman" w:hAnsi="Times New Roman"/>
              </w:rPr>
              <w:t>Estimate</w:t>
            </w:r>
          </w:p>
        </w:tc>
        <w:tc>
          <w:tcPr>
            <w:tcW w:w="3951" w:type="dxa"/>
            <w:gridSpan w:val="3"/>
            <w:noWrap/>
            <w:vAlign w:val="center"/>
            <w:hideMark/>
          </w:tcPr>
          <w:p w:rsidR="00C52C6B" w:rsidRPr="00CE3059" w:rsidRDefault="00C52C6B" w:rsidP="000B0CC7">
            <w:pPr>
              <w:pStyle w:val="E2-"/>
              <w:rPr>
                <w:rFonts w:ascii="Times New Roman" w:hAnsi="Times New Roman"/>
              </w:rPr>
            </w:pPr>
            <w:r w:rsidRPr="00CE3059">
              <w:rPr>
                <w:rFonts w:ascii="Times New Roman" w:hAnsi="Times New Roman"/>
              </w:rPr>
              <w:t>BC/PC</w:t>
            </w:r>
            <w:r w:rsidRPr="00CE3059">
              <w:rPr>
                <w:rFonts w:ascii="Times New Roman" w:hAnsi="Times New Roman" w:hint="eastAsia"/>
              </w:rPr>
              <w:t xml:space="preserve"> 95% Confidence Interval</w:t>
            </w:r>
          </w:p>
        </w:tc>
        <w:tc>
          <w:tcPr>
            <w:tcW w:w="923" w:type="dxa"/>
            <w:vMerge w:val="restart"/>
            <w:vAlign w:val="center"/>
          </w:tcPr>
          <w:p w:rsidR="00C52C6B" w:rsidRPr="00CE3059" w:rsidRDefault="00C52C6B" w:rsidP="000B0CC7">
            <w:pPr>
              <w:pStyle w:val="E2-"/>
              <w:rPr>
                <w:rFonts w:ascii="Times New Roman" w:hAnsi="Times New Roman"/>
              </w:rPr>
            </w:pPr>
            <w:r w:rsidRPr="00CE3059">
              <w:rPr>
                <w:rFonts w:ascii="Times New Roman" w:hAnsi="Times New Roman" w:hint="eastAsia"/>
              </w:rPr>
              <w:t>R</w:t>
            </w:r>
            <w:r w:rsidRPr="00CE3059">
              <w:rPr>
                <w:rFonts w:ascii="Times New Roman" w:hAnsi="Times New Roman"/>
              </w:rPr>
              <w:t>esult</w:t>
            </w:r>
          </w:p>
        </w:tc>
      </w:tr>
      <w:tr w:rsidR="00C52C6B" w:rsidRPr="00CE3059" w:rsidTr="000B0CC7">
        <w:trPr>
          <w:trHeight w:val="260"/>
        </w:trPr>
        <w:tc>
          <w:tcPr>
            <w:tcW w:w="1413" w:type="dxa"/>
            <w:vMerge/>
          </w:tcPr>
          <w:p w:rsidR="00C52C6B" w:rsidRPr="00CE3059" w:rsidRDefault="00C52C6B" w:rsidP="000B0CC7">
            <w:pPr>
              <w:pStyle w:val="E4-"/>
              <w:spacing w:before="120" w:after="120"/>
            </w:pPr>
          </w:p>
        </w:tc>
        <w:tc>
          <w:tcPr>
            <w:tcW w:w="714" w:type="dxa"/>
            <w:vMerge/>
          </w:tcPr>
          <w:p w:rsidR="00C52C6B" w:rsidRPr="00CE3059" w:rsidRDefault="00C52C6B" w:rsidP="000B0CC7">
            <w:pPr>
              <w:pStyle w:val="E4-"/>
              <w:spacing w:before="120" w:after="120"/>
            </w:pPr>
          </w:p>
        </w:tc>
        <w:tc>
          <w:tcPr>
            <w:tcW w:w="992" w:type="dxa"/>
            <w:vMerge/>
            <w:noWrap/>
          </w:tcPr>
          <w:p w:rsidR="00C52C6B" w:rsidRPr="00CE3059" w:rsidRDefault="00C52C6B" w:rsidP="000B0CC7">
            <w:pPr>
              <w:pStyle w:val="E4-"/>
              <w:spacing w:before="120" w:after="120"/>
            </w:pPr>
          </w:p>
        </w:tc>
        <w:tc>
          <w:tcPr>
            <w:tcW w:w="1417" w:type="dxa"/>
            <w:noWrap/>
            <w:vAlign w:val="center"/>
          </w:tcPr>
          <w:p w:rsidR="00C52C6B" w:rsidRPr="00CE3059" w:rsidRDefault="00C52C6B" w:rsidP="000B0CC7">
            <w:pPr>
              <w:pStyle w:val="E2-"/>
              <w:rPr>
                <w:rFonts w:ascii="Times New Roman" w:hAnsi="Times New Roman"/>
              </w:rPr>
            </w:pPr>
            <w:r w:rsidRPr="00CE3059">
              <w:rPr>
                <w:rFonts w:ascii="Times New Roman" w:hAnsi="Times New Roman"/>
              </w:rPr>
              <w:t>P value</w:t>
            </w:r>
          </w:p>
        </w:tc>
        <w:tc>
          <w:tcPr>
            <w:tcW w:w="1266" w:type="dxa"/>
            <w:vAlign w:val="center"/>
          </w:tcPr>
          <w:p w:rsidR="00C52C6B" w:rsidRPr="00CE3059" w:rsidRDefault="00C52C6B" w:rsidP="000B0CC7">
            <w:pPr>
              <w:pStyle w:val="E2-"/>
              <w:rPr>
                <w:rFonts w:ascii="Times New Roman" w:hAnsi="Times New Roman"/>
              </w:rPr>
            </w:pPr>
            <w:r w:rsidRPr="00CE3059">
              <w:rPr>
                <w:rFonts w:ascii="Times New Roman" w:hAnsi="Times New Roman" w:hint="eastAsia"/>
              </w:rPr>
              <w:t>BC</w:t>
            </w:r>
          </w:p>
        </w:tc>
        <w:tc>
          <w:tcPr>
            <w:tcW w:w="1268" w:type="dxa"/>
            <w:vAlign w:val="center"/>
          </w:tcPr>
          <w:p w:rsidR="00C52C6B" w:rsidRPr="00CE3059" w:rsidRDefault="00C52C6B" w:rsidP="000B0CC7">
            <w:pPr>
              <w:pStyle w:val="E2-"/>
              <w:rPr>
                <w:rFonts w:ascii="Times New Roman" w:hAnsi="Times New Roman"/>
              </w:rPr>
            </w:pPr>
            <w:r w:rsidRPr="00CE3059">
              <w:rPr>
                <w:rFonts w:ascii="Times New Roman" w:hAnsi="Times New Roman" w:hint="eastAsia"/>
              </w:rPr>
              <w:t>PC</w:t>
            </w:r>
          </w:p>
        </w:tc>
        <w:tc>
          <w:tcPr>
            <w:tcW w:w="923" w:type="dxa"/>
            <w:vMerge/>
          </w:tcPr>
          <w:p w:rsidR="00C52C6B" w:rsidRPr="00CE3059" w:rsidRDefault="00C52C6B" w:rsidP="000B0CC7">
            <w:pPr>
              <w:pStyle w:val="E4-"/>
              <w:spacing w:before="120" w:after="120"/>
            </w:pPr>
          </w:p>
        </w:tc>
      </w:tr>
      <w:tr w:rsidR="00C52C6B" w:rsidRPr="00CE3059" w:rsidTr="000B0CC7">
        <w:trPr>
          <w:trHeight w:val="250"/>
        </w:trPr>
        <w:tc>
          <w:tcPr>
            <w:tcW w:w="1413" w:type="dxa"/>
          </w:tcPr>
          <w:p w:rsidR="00C52C6B" w:rsidRPr="00CE3059" w:rsidRDefault="00C52C6B" w:rsidP="000B0CC7">
            <w:pPr>
              <w:pStyle w:val="E4-"/>
            </w:pPr>
            <w:r w:rsidRPr="00CE3059">
              <w:t>Indirect Effect</w:t>
            </w:r>
          </w:p>
        </w:tc>
        <w:tc>
          <w:tcPr>
            <w:tcW w:w="714" w:type="dxa"/>
            <w:vAlign w:val="center"/>
            <w:hideMark/>
          </w:tcPr>
          <w:p w:rsidR="00C52C6B" w:rsidRPr="00CE3059" w:rsidRDefault="00C52C6B" w:rsidP="000B0CC7">
            <w:pPr>
              <w:pStyle w:val="E4-"/>
            </w:pPr>
            <w:r w:rsidRPr="00CE3059">
              <w:rPr>
                <w:rFonts w:hint="eastAsia"/>
              </w:rPr>
              <w:t>XM</w:t>
            </w:r>
            <w:r w:rsidRPr="00CE3059">
              <w:rPr>
                <w:vertAlign w:val="subscript"/>
              </w:rPr>
              <w:t>1</w:t>
            </w:r>
            <w:r w:rsidRPr="00CE3059">
              <w:rPr>
                <w:rFonts w:hint="eastAsia"/>
              </w:rPr>
              <w:t>Y</w:t>
            </w:r>
          </w:p>
        </w:tc>
        <w:tc>
          <w:tcPr>
            <w:tcW w:w="992" w:type="dxa"/>
            <w:noWrap/>
            <w:vAlign w:val="center"/>
            <w:hideMark/>
          </w:tcPr>
          <w:p w:rsidR="00C52C6B" w:rsidRPr="00CE3059" w:rsidRDefault="00C52C6B" w:rsidP="000B0CC7">
            <w:pPr>
              <w:pStyle w:val="E4-"/>
            </w:pPr>
            <w:r w:rsidRPr="00CE3059">
              <w:rPr>
                <w:rFonts w:hint="eastAsia"/>
              </w:rPr>
              <w:t>0.</w:t>
            </w:r>
            <w:r w:rsidRPr="00CE3059">
              <w:t>193</w:t>
            </w:r>
          </w:p>
        </w:tc>
        <w:tc>
          <w:tcPr>
            <w:tcW w:w="1417" w:type="dxa"/>
            <w:noWrap/>
            <w:vAlign w:val="center"/>
            <w:hideMark/>
          </w:tcPr>
          <w:p w:rsidR="00C52C6B" w:rsidRPr="00CE3059" w:rsidRDefault="00C52C6B" w:rsidP="000B0CC7">
            <w:pPr>
              <w:pStyle w:val="E4-"/>
            </w:pPr>
            <w:r w:rsidRPr="00CE3059">
              <w:t>&lt; 0.001</w:t>
            </w:r>
          </w:p>
        </w:tc>
        <w:tc>
          <w:tcPr>
            <w:tcW w:w="1266" w:type="dxa"/>
            <w:vAlign w:val="center"/>
          </w:tcPr>
          <w:p w:rsidR="00C52C6B" w:rsidRPr="00CE3059" w:rsidRDefault="00C52C6B" w:rsidP="000B0CC7">
            <w:pPr>
              <w:pStyle w:val="E4-"/>
            </w:pPr>
            <w:r w:rsidRPr="00CE3059">
              <w:t>0.125~0.284</w:t>
            </w:r>
          </w:p>
        </w:tc>
        <w:tc>
          <w:tcPr>
            <w:tcW w:w="1268" w:type="dxa"/>
            <w:vAlign w:val="center"/>
          </w:tcPr>
          <w:p w:rsidR="00C52C6B" w:rsidRPr="00CE3059" w:rsidRDefault="00C52C6B" w:rsidP="000B0CC7">
            <w:pPr>
              <w:pStyle w:val="E4-"/>
            </w:pPr>
            <w:r w:rsidRPr="00CE3059">
              <w:t>0.118~0.276</w:t>
            </w:r>
          </w:p>
        </w:tc>
        <w:tc>
          <w:tcPr>
            <w:tcW w:w="923" w:type="dxa"/>
            <w:vAlign w:val="center"/>
          </w:tcPr>
          <w:p w:rsidR="00C52C6B" w:rsidRPr="00CE3059" w:rsidRDefault="00C52C6B" w:rsidP="000B0CC7">
            <w:pPr>
              <w:pStyle w:val="E4-"/>
            </w:pPr>
            <w:r w:rsidRPr="00CE3059">
              <w:rPr>
                <w:rFonts w:hint="eastAsia"/>
              </w:rPr>
              <w:t>C</w:t>
            </w:r>
            <w:r w:rsidRPr="00CE3059">
              <w:t>onfirmed</w:t>
            </w:r>
          </w:p>
        </w:tc>
      </w:tr>
      <w:tr w:rsidR="00C52C6B" w:rsidRPr="00CE3059" w:rsidTr="000B0CC7">
        <w:trPr>
          <w:trHeight w:val="250"/>
        </w:trPr>
        <w:tc>
          <w:tcPr>
            <w:tcW w:w="1413" w:type="dxa"/>
          </w:tcPr>
          <w:p w:rsidR="00C52C6B" w:rsidRPr="00CE3059" w:rsidRDefault="00C52C6B" w:rsidP="000B0CC7">
            <w:pPr>
              <w:pStyle w:val="E4-"/>
            </w:pPr>
          </w:p>
        </w:tc>
        <w:tc>
          <w:tcPr>
            <w:tcW w:w="714" w:type="dxa"/>
            <w:vAlign w:val="center"/>
          </w:tcPr>
          <w:p w:rsidR="00C52C6B" w:rsidRPr="00CE3059" w:rsidRDefault="00C52C6B" w:rsidP="000B0CC7">
            <w:pPr>
              <w:pStyle w:val="E4-"/>
            </w:pPr>
            <w:r w:rsidRPr="00CE3059">
              <w:t>XM</w:t>
            </w:r>
            <w:r w:rsidRPr="00CE3059">
              <w:rPr>
                <w:vertAlign w:val="subscript"/>
              </w:rPr>
              <w:t>2</w:t>
            </w:r>
            <w:r w:rsidRPr="00CE3059">
              <w:t>Y</w:t>
            </w:r>
          </w:p>
        </w:tc>
        <w:tc>
          <w:tcPr>
            <w:tcW w:w="992" w:type="dxa"/>
            <w:noWrap/>
            <w:vAlign w:val="center"/>
          </w:tcPr>
          <w:p w:rsidR="00C52C6B" w:rsidRPr="00CE3059" w:rsidRDefault="00C52C6B" w:rsidP="000B0CC7">
            <w:pPr>
              <w:pStyle w:val="E4-"/>
            </w:pPr>
            <w:r w:rsidRPr="00CE3059">
              <w:rPr>
                <w:rFonts w:hint="eastAsia"/>
              </w:rPr>
              <w:t>0</w:t>
            </w:r>
            <w:r w:rsidRPr="00CE3059">
              <w:t>.206</w:t>
            </w:r>
          </w:p>
        </w:tc>
        <w:tc>
          <w:tcPr>
            <w:tcW w:w="1417" w:type="dxa"/>
            <w:noWrap/>
            <w:vAlign w:val="center"/>
          </w:tcPr>
          <w:p w:rsidR="00C52C6B" w:rsidRPr="00CE3059" w:rsidRDefault="00C52C6B" w:rsidP="000B0CC7">
            <w:pPr>
              <w:pStyle w:val="E4-"/>
            </w:pPr>
            <w:r w:rsidRPr="00CE3059">
              <w:t>&lt; 0.05</w:t>
            </w:r>
          </w:p>
        </w:tc>
        <w:tc>
          <w:tcPr>
            <w:tcW w:w="1266" w:type="dxa"/>
            <w:vAlign w:val="center"/>
          </w:tcPr>
          <w:p w:rsidR="00C52C6B" w:rsidRPr="00CE3059" w:rsidRDefault="00C52C6B" w:rsidP="000B0CC7">
            <w:pPr>
              <w:pStyle w:val="E4-"/>
            </w:pPr>
            <w:r w:rsidRPr="00CE3059">
              <w:t>0.042~0.385</w:t>
            </w:r>
          </w:p>
        </w:tc>
        <w:tc>
          <w:tcPr>
            <w:tcW w:w="1268" w:type="dxa"/>
            <w:vAlign w:val="center"/>
          </w:tcPr>
          <w:p w:rsidR="00C52C6B" w:rsidRPr="00CE3059" w:rsidRDefault="00C52C6B" w:rsidP="000B0CC7">
            <w:pPr>
              <w:pStyle w:val="E4-"/>
            </w:pPr>
            <w:r w:rsidRPr="00CE3059">
              <w:t>0.038~0.374</w:t>
            </w:r>
          </w:p>
        </w:tc>
        <w:tc>
          <w:tcPr>
            <w:tcW w:w="923" w:type="dxa"/>
            <w:vAlign w:val="center"/>
          </w:tcPr>
          <w:p w:rsidR="00C52C6B" w:rsidRPr="00CE3059" w:rsidRDefault="00C52C6B" w:rsidP="000B0CC7">
            <w:pPr>
              <w:pStyle w:val="E4-"/>
            </w:pPr>
            <w:r w:rsidRPr="00CE3059">
              <w:t>Confirmed</w:t>
            </w:r>
          </w:p>
        </w:tc>
      </w:tr>
      <w:tr w:rsidR="00C52C6B" w:rsidRPr="00CE3059" w:rsidTr="000B0CC7">
        <w:trPr>
          <w:trHeight w:val="250"/>
        </w:trPr>
        <w:tc>
          <w:tcPr>
            <w:tcW w:w="1413" w:type="dxa"/>
            <w:vMerge w:val="restart"/>
            <w:vAlign w:val="center"/>
          </w:tcPr>
          <w:p w:rsidR="00C52C6B" w:rsidRPr="00CE3059" w:rsidRDefault="00C52C6B" w:rsidP="000B0CC7">
            <w:pPr>
              <w:pStyle w:val="E4-"/>
            </w:pPr>
            <w:r w:rsidRPr="00CE3059">
              <w:t>Direct Effect</w:t>
            </w:r>
          </w:p>
        </w:tc>
        <w:tc>
          <w:tcPr>
            <w:tcW w:w="714" w:type="dxa"/>
            <w:vAlign w:val="center"/>
          </w:tcPr>
          <w:p w:rsidR="00C52C6B" w:rsidRPr="00CE3059" w:rsidRDefault="00C52C6B" w:rsidP="000B0CC7">
            <w:pPr>
              <w:pStyle w:val="E4-"/>
            </w:pPr>
            <w:r w:rsidRPr="00CE3059">
              <w:rPr>
                <w:rFonts w:hint="eastAsia"/>
              </w:rPr>
              <w:t>XM</w:t>
            </w:r>
            <w:r w:rsidRPr="00CE3059">
              <w:rPr>
                <w:vertAlign w:val="subscript"/>
              </w:rPr>
              <w:t>1</w:t>
            </w:r>
          </w:p>
        </w:tc>
        <w:tc>
          <w:tcPr>
            <w:tcW w:w="992" w:type="dxa"/>
            <w:noWrap/>
          </w:tcPr>
          <w:p w:rsidR="00C52C6B" w:rsidRPr="00CE3059" w:rsidRDefault="00C52C6B" w:rsidP="000B0CC7">
            <w:pPr>
              <w:pStyle w:val="E4-"/>
            </w:pPr>
            <w:r w:rsidRPr="00CE3059">
              <w:rPr>
                <w:rFonts w:hint="eastAsia"/>
              </w:rPr>
              <w:t>0.</w:t>
            </w:r>
            <w:r w:rsidRPr="00CE3059">
              <w:t>35</w:t>
            </w:r>
          </w:p>
        </w:tc>
        <w:tc>
          <w:tcPr>
            <w:tcW w:w="1417" w:type="dxa"/>
            <w:noWrap/>
          </w:tcPr>
          <w:p w:rsidR="00C52C6B" w:rsidRPr="00CE3059" w:rsidRDefault="00C52C6B" w:rsidP="000B0CC7">
            <w:pPr>
              <w:pStyle w:val="E4-"/>
            </w:pPr>
            <w:r w:rsidRPr="00CE3059">
              <w:t>&lt; 0.001</w:t>
            </w:r>
          </w:p>
        </w:tc>
        <w:tc>
          <w:tcPr>
            <w:tcW w:w="1266" w:type="dxa"/>
          </w:tcPr>
          <w:p w:rsidR="00C52C6B" w:rsidRPr="00CE3059" w:rsidRDefault="00C52C6B" w:rsidP="000B0CC7">
            <w:pPr>
              <w:pStyle w:val="E4-"/>
            </w:pPr>
            <w:r w:rsidRPr="00CE3059">
              <w:t>0.224~0.486</w:t>
            </w:r>
          </w:p>
        </w:tc>
        <w:tc>
          <w:tcPr>
            <w:tcW w:w="1268" w:type="dxa"/>
          </w:tcPr>
          <w:p w:rsidR="00C52C6B" w:rsidRPr="00CE3059" w:rsidRDefault="00C52C6B" w:rsidP="000B0CC7">
            <w:pPr>
              <w:pStyle w:val="E4-"/>
            </w:pPr>
            <w:r w:rsidRPr="00CE3059">
              <w:rPr>
                <w:rFonts w:hint="eastAsia"/>
              </w:rPr>
              <w:t>0.548~0.866</w:t>
            </w:r>
          </w:p>
        </w:tc>
        <w:tc>
          <w:tcPr>
            <w:tcW w:w="923" w:type="dxa"/>
            <w:vMerge w:val="restart"/>
            <w:vAlign w:val="center"/>
          </w:tcPr>
          <w:p w:rsidR="00C52C6B" w:rsidRPr="00CE3059" w:rsidRDefault="00C52C6B" w:rsidP="000B0CC7">
            <w:pPr>
              <w:pStyle w:val="E4-"/>
            </w:pPr>
            <w:r w:rsidRPr="00CE3059">
              <w:t>Partial Mediation</w:t>
            </w:r>
          </w:p>
        </w:tc>
      </w:tr>
      <w:tr w:rsidR="00C52C6B" w:rsidRPr="00CE3059" w:rsidTr="000B0CC7">
        <w:trPr>
          <w:trHeight w:val="250"/>
        </w:trPr>
        <w:tc>
          <w:tcPr>
            <w:tcW w:w="1413" w:type="dxa"/>
            <w:vMerge/>
          </w:tcPr>
          <w:p w:rsidR="00C52C6B" w:rsidRPr="00CE3059" w:rsidRDefault="00C52C6B" w:rsidP="000B0CC7">
            <w:pPr>
              <w:pStyle w:val="E4-"/>
            </w:pPr>
          </w:p>
        </w:tc>
        <w:tc>
          <w:tcPr>
            <w:tcW w:w="714" w:type="dxa"/>
            <w:vAlign w:val="center"/>
          </w:tcPr>
          <w:p w:rsidR="00C52C6B" w:rsidRPr="00CE3059" w:rsidRDefault="00C52C6B" w:rsidP="000B0CC7">
            <w:pPr>
              <w:pStyle w:val="E4-"/>
            </w:pPr>
            <w:r w:rsidRPr="00CE3059">
              <w:rPr>
                <w:rFonts w:hint="eastAsia"/>
              </w:rPr>
              <w:t>M</w:t>
            </w:r>
            <w:r w:rsidRPr="00CE3059">
              <w:rPr>
                <w:vertAlign w:val="subscript"/>
              </w:rPr>
              <w:t>1</w:t>
            </w:r>
            <w:r w:rsidRPr="00CE3059">
              <w:t>Y</w:t>
            </w:r>
          </w:p>
        </w:tc>
        <w:tc>
          <w:tcPr>
            <w:tcW w:w="992" w:type="dxa"/>
            <w:noWrap/>
          </w:tcPr>
          <w:p w:rsidR="00C52C6B" w:rsidRPr="00CE3059" w:rsidRDefault="00C52C6B" w:rsidP="000B0CC7">
            <w:pPr>
              <w:pStyle w:val="E4-"/>
            </w:pPr>
            <w:r w:rsidRPr="00CE3059">
              <w:rPr>
                <w:rFonts w:hint="eastAsia"/>
              </w:rPr>
              <w:t>0</w:t>
            </w:r>
            <w:r w:rsidRPr="00CE3059">
              <w:t>.55</w:t>
            </w:r>
          </w:p>
        </w:tc>
        <w:tc>
          <w:tcPr>
            <w:tcW w:w="1417" w:type="dxa"/>
            <w:noWrap/>
          </w:tcPr>
          <w:p w:rsidR="00C52C6B" w:rsidRPr="00CE3059" w:rsidRDefault="00C52C6B" w:rsidP="000B0CC7">
            <w:pPr>
              <w:pStyle w:val="E4-"/>
            </w:pPr>
            <w:r w:rsidRPr="00CE3059">
              <w:t>&lt; 0.001</w:t>
            </w:r>
          </w:p>
        </w:tc>
        <w:tc>
          <w:tcPr>
            <w:tcW w:w="1266" w:type="dxa"/>
          </w:tcPr>
          <w:p w:rsidR="00C52C6B" w:rsidRPr="00CE3059" w:rsidRDefault="00C52C6B" w:rsidP="000B0CC7">
            <w:pPr>
              <w:pStyle w:val="E4-"/>
            </w:pPr>
            <w:r w:rsidRPr="00CE3059">
              <w:t>0.384~0.712</w:t>
            </w:r>
          </w:p>
        </w:tc>
        <w:tc>
          <w:tcPr>
            <w:tcW w:w="1268" w:type="dxa"/>
          </w:tcPr>
          <w:p w:rsidR="00C52C6B" w:rsidRPr="00CE3059" w:rsidRDefault="00C52C6B" w:rsidP="000B0CC7">
            <w:pPr>
              <w:pStyle w:val="E4-"/>
            </w:pPr>
            <w:r w:rsidRPr="00CE3059">
              <w:t>0.375~0.704</w:t>
            </w:r>
          </w:p>
        </w:tc>
        <w:tc>
          <w:tcPr>
            <w:tcW w:w="923" w:type="dxa"/>
            <w:vMerge/>
            <w:vAlign w:val="center"/>
          </w:tcPr>
          <w:p w:rsidR="00C52C6B" w:rsidRPr="00CE3059" w:rsidRDefault="00C52C6B" w:rsidP="000B0CC7">
            <w:pPr>
              <w:pStyle w:val="E4-"/>
            </w:pPr>
          </w:p>
        </w:tc>
      </w:tr>
      <w:tr w:rsidR="00C52C6B" w:rsidRPr="00CE3059" w:rsidTr="000B0CC7">
        <w:trPr>
          <w:trHeight w:val="250"/>
        </w:trPr>
        <w:tc>
          <w:tcPr>
            <w:tcW w:w="1413" w:type="dxa"/>
            <w:vMerge/>
          </w:tcPr>
          <w:p w:rsidR="00C52C6B" w:rsidRPr="00CE3059" w:rsidRDefault="00C52C6B" w:rsidP="000B0CC7">
            <w:pPr>
              <w:pStyle w:val="E4-"/>
            </w:pPr>
          </w:p>
        </w:tc>
        <w:tc>
          <w:tcPr>
            <w:tcW w:w="714" w:type="dxa"/>
            <w:vAlign w:val="center"/>
          </w:tcPr>
          <w:p w:rsidR="00C52C6B" w:rsidRPr="00CE3059" w:rsidRDefault="00C52C6B" w:rsidP="000B0CC7">
            <w:pPr>
              <w:pStyle w:val="E4-"/>
            </w:pPr>
            <w:r w:rsidRPr="00CE3059">
              <w:rPr>
                <w:rFonts w:hint="eastAsia"/>
              </w:rPr>
              <w:t>X</w:t>
            </w:r>
            <w:r w:rsidRPr="00CE3059">
              <w:t>M</w:t>
            </w:r>
            <w:r w:rsidRPr="00CE3059">
              <w:rPr>
                <w:vertAlign w:val="subscript"/>
              </w:rPr>
              <w:t>2</w:t>
            </w:r>
          </w:p>
        </w:tc>
        <w:tc>
          <w:tcPr>
            <w:tcW w:w="992" w:type="dxa"/>
            <w:noWrap/>
          </w:tcPr>
          <w:p w:rsidR="00C52C6B" w:rsidRPr="00CE3059" w:rsidRDefault="00C52C6B" w:rsidP="000B0CC7">
            <w:pPr>
              <w:pStyle w:val="E4-"/>
            </w:pPr>
            <w:r w:rsidRPr="00CE3059">
              <w:rPr>
                <w:rFonts w:hint="eastAsia"/>
              </w:rPr>
              <w:t>0</w:t>
            </w:r>
            <w:r w:rsidRPr="00CE3059">
              <w:t>.09</w:t>
            </w:r>
          </w:p>
        </w:tc>
        <w:tc>
          <w:tcPr>
            <w:tcW w:w="1417" w:type="dxa"/>
            <w:noWrap/>
          </w:tcPr>
          <w:p w:rsidR="00C52C6B" w:rsidRPr="00CE3059" w:rsidRDefault="00C52C6B" w:rsidP="000B0CC7">
            <w:pPr>
              <w:pStyle w:val="E4-"/>
            </w:pPr>
            <w:r w:rsidRPr="00CE3059">
              <w:t>&lt; 0.05</w:t>
            </w:r>
          </w:p>
        </w:tc>
        <w:tc>
          <w:tcPr>
            <w:tcW w:w="1266" w:type="dxa"/>
          </w:tcPr>
          <w:p w:rsidR="00C52C6B" w:rsidRPr="00CE3059" w:rsidRDefault="00C52C6B" w:rsidP="000B0CC7">
            <w:pPr>
              <w:pStyle w:val="E4-"/>
            </w:pPr>
            <w:r w:rsidRPr="00CE3059">
              <w:t>0.015~0.184</w:t>
            </w:r>
          </w:p>
        </w:tc>
        <w:tc>
          <w:tcPr>
            <w:tcW w:w="1268" w:type="dxa"/>
          </w:tcPr>
          <w:p w:rsidR="00C52C6B" w:rsidRPr="00CE3059" w:rsidRDefault="00C52C6B" w:rsidP="000B0CC7">
            <w:pPr>
              <w:pStyle w:val="E4-"/>
            </w:pPr>
            <w:r w:rsidRPr="00CE3059">
              <w:t>0.012~0.176</w:t>
            </w:r>
          </w:p>
        </w:tc>
        <w:tc>
          <w:tcPr>
            <w:tcW w:w="923" w:type="dxa"/>
            <w:vMerge/>
            <w:vAlign w:val="center"/>
          </w:tcPr>
          <w:p w:rsidR="00C52C6B" w:rsidRPr="00CE3059" w:rsidRDefault="00C52C6B" w:rsidP="000B0CC7">
            <w:pPr>
              <w:pStyle w:val="E4-"/>
            </w:pPr>
          </w:p>
        </w:tc>
      </w:tr>
      <w:tr w:rsidR="00C52C6B" w:rsidRPr="00CE3059" w:rsidTr="000B0CC7">
        <w:trPr>
          <w:trHeight w:val="250"/>
        </w:trPr>
        <w:tc>
          <w:tcPr>
            <w:tcW w:w="1413" w:type="dxa"/>
            <w:vMerge/>
          </w:tcPr>
          <w:p w:rsidR="00C52C6B" w:rsidRPr="00CE3059" w:rsidRDefault="00C52C6B" w:rsidP="000B0CC7">
            <w:pPr>
              <w:pStyle w:val="E4-"/>
            </w:pPr>
          </w:p>
        </w:tc>
        <w:tc>
          <w:tcPr>
            <w:tcW w:w="714" w:type="dxa"/>
            <w:vAlign w:val="center"/>
          </w:tcPr>
          <w:p w:rsidR="00C52C6B" w:rsidRPr="00CE3059" w:rsidRDefault="00C52C6B" w:rsidP="000B0CC7">
            <w:pPr>
              <w:pStyle w:val="E4-"/>
            </w:pPr>
            <w:r w:rsidRPr="00CE3059">
              <w:t>M</w:t>
            </w:r>
            <w:r w:rsidRPr="00CE3059">
              <w:rPr>
                <w:vertAlign w:val="subscript"/>
              </w:rPr>
              <w:t>2</w:t>
            </w:r>
            <w:r w:rsidRPr="00CE3059">
              <w:t>Y</w:t>
            </w:r>
          </w:p>
        </w:tc>
        <w:tc>
          <w:tcPr>
            <w:tcW w:w="992" w:type="dxa"/>
            <w:noWrap/>
          </w:tcPr>
          <w:p w:rsidR="00C52C6B" w:rsidRPr="00CE3059" w:rsidRDefault="00C52C6B" w:rsidP="000B0CC7">
            <w:pPr>
              <w:pStyle w:val="E4-"/>
            </w:pPr>
            <w:r w:rsidRPr="00CE3059">
              <w:t>2.29</w:t>
            </w:r>
          </w:p>
        </w:tc>
        <w:tc>
          <w:tcPr>
            <w:tcW w:w="1417" w:type="dxa"/>
            <w:noWrap/>
          </w:tcPr>
          <w:p w:rsidR="00C52C6B" w:rsidRPr="00CE3059" w:rsidRDefault="00C52C6B" w:rsidP="000B0CC7">
            <w:pPr>
              <w:pStyle w:val="E4-"/>
            </w:pPr>
            <w:r w:rsidRPr="00CE3059">
              <w:t>&lt; 0.001</w:t>
            </w:r>
          </w:p>
        </w:tc>
        <w:tc>
          <w:tcPr>
            <w:tcW w:w="1266" w:type="dxa"/>
          </w:tcPr>
          <w:p w:rsidR="00C52C6B" w:rsidRPr="00CE3059" w:rsidRDefault="00C52C6B" w:rsidP="000B0CC7">
            <w:pPr>
              <w:pStyle w:val="E4-"/>
            </w:pPr>
            <w:r w:rsidRPr="00CE3059">
              <w:t>1.842~2.756</w:t>
            </w:r>
          </w:p>
        </w:tc>
        <w:tc>
          <w:tcPr>
            <w:tcW w:w="1268" w:type="dxa"/>
          </w:tcPr>
          <w:p w:rsidR="00C52C6B" w:rsidRPr="00CE3059" w:rsidRDefault="00C52C6B" w:rsidP="000B0CC7">
            <w:pPr>
              <w:pStyle w:val="E4-"/>
            </w:pPr>
            <w:r w:rsidRPr="00CE3059">
              <w:t>1.825~2.734</w:t>
            </w:r>
          </w:p>
        </w:tc>
        <w:tc>
          <w:tcPr>
            <w:tcW w:w="923" w:type="dxa"/>
            <w:vMerge/>
            <w:vAlign w:val="center"/>
          </w:tcPr>
          <w:p w:rsidR="00C52C6B" w:rsidRPr="00CE3059" w:rsidRDefault="00C52C6B" w:rsidP="000B0CC7">
            <w:pPr>
              <w:pStyle w:val="E4-"/>
            </w:pPr>
          </w:p>
        </w:tc>
      </w:tr>
      <w:tr w:rsidR="00C52C6B" w:rsidRPr="00CE3059" w:rsidTr="000B0CC7">
        <w:trPr>
          <w:trHeight w:val="250"/>
        </w:trPr>
        <w:tc>
          <w:tcPr>
            <w:tcW w:w="1413" w:type="dxa"/>
            <w:vMerge/>
          </w:tcPr>
          <w:p w:rsidR="00C52C6B" w:rsidRPr="00CE3059" w:rsidRDefault="00C52C6B" w:rsidP="000B0CC7">
            <w:pPr>
              <w:pStyle w:val="E4-"/>
            </w:pPr>
          </w:p>
        </w:tc>
        <w:tc>
          <w:tcPr>
            <w:tcW w:w="714" w:type="dxa"/>
            <w:vAlign w:val="center"/>
          </w:tcPr>
          <w:p w:rsidR="00C52C6B" w:rsidRPr="00CE3059" w:rsidRDefault="00C52C6B" w:rsidP="000B0CC7">
            <w:pPr>
              <w:pStyle w:val="E4-"/>
            </w:pPr>
            <w:r w:rsidRPr="00CE3059">
              <w:t>XY</w:t>
            </w:r>
          </w:p>
        </w:tc>
        <w:tc>
          <w:tcPr>
            <w:tcW w:w="992" w:type="dxa"/>
            <w:noWrap/>
          </w:tcPr>
          <w:p w:rsidR="00C52C6B" w:rsidRPr="00CE3059" w:rsidRDefault="00C52C6B" w:rsidP="000B0CC7">
            <w:pPr>
              <w:pStyle w:val="E4-"/>
            </w:pPr>
            <w:r w:rsidRPr="00CE3059">
              <w:rPr>
                <w:rFonts w:hint="eastAsia"/>
              </w:rPr>
              <w:t>0.</w:t>
            </w:r>
            <w:r w:rsidRPr="00CE3059">
              <w:t>15</w:t>
            </w:r>
          </w:p>
        </w:tc>
        <w:tc>
          <w:tcPr>
            <w:tcW w:w="1417" w:type="dxa"/>
            <w:noWrap/>
          </w:tcPr>
          <w:p w:rsidR="00C52C6B" w:rsidRPr="00CE3059" w:rsidRDefault="00C52C6B" w:rsidP="000B0CC7">
            <w:pPr>
              <w:pStyle w:val="E4-"/>
            </w:pPr>
            <w:r w:rsidRPr="00CE3059">
              <w:t>&lt; 0.05</w:t>
            </w:r>
          </w:p>
        </w:tc>
        <w:tc>
          <w:tcPr>
            <w:tcW w:w="1266" w:type="dxa"/>
          </w:tcPr>
          <w:p w:rsidR="00C52C6B" w:rsidRPr="00CE3059" w:rsidRDefault="00C52C6B" w:rsidP="000B0CC7">
            <w:pPr>
              <w:pStyle w:val="E4-"/>
            </w:pPr>
            <w:r w:rsidRPr="00CE3059">
              <w:t>0.054~0.268</w:t>
            </w:r>
          </w:p>
        </w:tc>
        <w:tc>
          <w:tcPr>
            <w:tcW w:w="1268" w:type="dxa"/>
          </w:tcPr>
          <w:p w:rsidR="00C52C6B" w:rsidRPr="00CE3059" w:rsidRDefault="00C52C6B" w:rsidP="000B0CC7">
            <w:pPr>
              <w:pStyle w:val="E4-"/>
            </w:pPr>
            <w:r w:rsidRPr="00CE3059">
              <w:t>0.048~0.254</w:t>
            </w:r>
          </w:p>
        </w:tc>
        <w:tc>
          <w:tcPr>
            <w:tcW w:w="923" w:type="dxa"/>
            <w:vMerge/>
            <w:vAlign w:val="center"/>
          </w:tcPr>
          <w:p w:rsidR="00C52C6B" w:rsidRPr="00CE3059" w:rsidRDefault="00C52C6B" w:rsidP="000B0CC7">
            <w:pPr>
              <w:pStyle w:val="E4-"/>
            </w:pPr>
          </w:p>
        </w:tc>
      </w:tr>
      <w:tr w:rsidR="00C52C6B" w:rsidRPr="00CE3059" w:rsidTr="000B0CC7">
        <w:trPr>
          <w:trHeight w:val="250"/>
        </w:trPr>
        <w:tc>
          <w:tcPr>
            <w:tcW w:w="1413" w:type="dxa"/>
          </w:tcPr>
          <w:p w:rsidR="00C52C6B" w:rsidRPr="00CE3059" w:rsidRDefault="00C52C6B" w:rsidP="000B0CC7">
            <w:pPr>
              <w:pStyle w:val="E4-"/>
            </w:pPr>
            <w:r w:rsidRPr="00CE3059">
              <w:t>Total Effect</w:t>
            </w:r>
          </w:p>
        </w:tc>
        <w:tc>
          <w:tcPr>
            <w:tcW w:w="714" w:type="dxa"/>
            <w:vAlign w:val="center"/>
          </w:tcPr>
          <w:p w:rsidR="00C52C6B" w:rsidRPr="00CE3059" w:rsidRDefault="00C52C6B" w:rsidP="000B0CC7">
            <w:pPr>
              <w:pStyle w:val="E4-"/>
            </w:pPr>
            <w:r w:rsidRPr="00CE3059">
              <w:rPr>
                <w:rFonts w:hint="eastAsia"/>
              </w:rPr>
              <w:t>XY</w:t>
            </w:r>
          </w:p>
        </w:tc>
        <w:tc>
          <w:tcPr>
            <w:tcW w:w="992" w:type="dxa"/>
            <w:noWrap/>
            <w:vAlign w:val="center"/>
          </w:tcPr>
          <w:p w:rsidR="00C52C6B" w:rsidRPr="00CE3059" w:rsidRDefault="00C52C6B" w:rsidP="000B0CC7">
            <w:pPr>
              <w:pStyle w:val="E4-"/>
            </w:pPr>
            <w:r w:rsidRPr="00CE3059">
              <w:rPr>
                <w:rFonts w:hint="eastAsia"/>
              </w:rPr>
              <w:t>0.</w:t>
            </w:r>
            <w:r w:rsidRPr="00CE3059">
              <w:t>549</w:t>
            </w:r>
          </w:p>
        </w:tc>
        <w:tc>
          <w:tcPr>
            <w:tcW w:w="1417" w:type="dxa"/>
            <w:noWrap/>
            <w:vAlign w:val="center"/>
          </w:tcPr>
          <w:p w:rsidR="00C52C6B" w:rsidRPr="00CE3059" w:rsidRDefault="00C52C6B" w:rsidP="000B0CC7">
            <w:pPr>
              <w:pStyle w:val="E4-"/>
            </w:pPr>
            <w:r w:rsidRPr="00CE3059">
              <w:t>&lt; 0.001</w:t>
            </w:r>
          </w:p>
        </w:tc>
        <w:tc>
          <w:tcPr>
            <w:tcW w:w="1266" w:type="dxa"/>
            <w:vAlign w:val="center"/>
          </w:tcPr>
          <w:p w:rsidR="00C52C6B" w:rsidRPr="00CE3059" w:rsidRDefault="00C52C6B" w:rsidP="000B0CC7">
            <w:pPr>
              <w:pStyle w:val="E4-"/>
            </w:pPr>
            <w:r w:rsidRPr="00CE3059">
              <w:t>0.385~0.724</w:t>
            </w:r>
          </w:p>
        </w:tc>
        <w:tc>
          <w:tcPr>
            <w:tcW w:w="1268" w:type="dxa"/>
            <w:vAlign w:val="center"/>
          </w:tcPr>
          <w:p w:rsidR="00C52C6B" w:rsidRPr="00CE3059" w:rsidRDefault="00C52C6B" w:rsidP="000B0CC7">
            <w:pPr>
              <w:pStyle w:val="E4-"/>
            </w:pPr>
            <w:r w:rsidRPr="00CE3059">
              <w:t>0.374~0.712</w:t>
            </w:r>
          </w:p>
        </w:tc>
        <w:tc>
          <w:tcPr>
            <w:tcW w:w="923" w:type="dxa"/>
            <w:vAlign w:val="center"/>
          </w:tcPr>
          <w:p w:rsidR="00C52C6B" w:rsidRPr="00CE3059" w:rsidRDefault="00C52C6B" w:rsidP="000B0CC7">
            <w:pPr>
              <w:pStyle w:val="E4-"/>
            </w:pPr>
            <w:r w:rsidRPr="00CE3059">
              <w:t>Confirmed</w:t>
            </w:r>
          </w:p>
        </w:tc>
      </w:tr>
    </w:tbl>
    <w:p w:rsidR="00C52C6B" w:rsidRPr="009D3483" w:rsidRDefault="00C52C6B" w:rsidP="00C52C6B">
      <w:pPr>
        <w:pStyle w:val="B23"/>
        <w:spacing w:before="360" w:after="360"/>
        <w:rPr>
          <w:rFonts w:eastAsia="標楷體"/>
        </w:rPr>
      </w:pPr>
      <w:r w:rsidRPr="009D3483">
        <w:rPr>
          <w:rFonts w:eastAsia="標楷體"/>
        </w:rPr>
        <w:lastRenderedPageBreak/>
        <w:t>DISCUSSION AND CONCLUSIONS</w:t>
      </w:r>
    </w:p>
    <w:p w:rsidR="00C52C6B" w:rsidRPr="009D3483" w:rsidRDefault="00C52C6B" w:rsidP="00C52C6B">
      <w:pPr>
        <w:pStyle w:val="B24"/>
        <w:ind w:firstLine="416"/>
      </w:pPr>
      <w:r w:rsidRPr="009D3483">
        <w:t>The structural equation modeling results provide robust empirical evidence for the sequential psychological trajectory within the marine sports experience. This study confirms that Risk Perception acts as a significant antecedent that does not merely inhibit participation but serves as a catalyst for cognitive engagement. Specifically, the significant positive paths from risk perception to Perceived Competence ((β = 0.35) and Self-Efficacy (β = 0.09) suggest that when tourists perceive environmental challenges, they actively mobilize their technical skills and self-belief to manage the situation. Most notably, the mediation analysis reveals that Self-Efficacy (β = 2.29) and Perceived Competence ((β = 0.55) function as critical partial mediators, facilitating the transformation of risk-related anxiety into a Flow Experience. This confirms the theoretical tenets of Csikszentmihalyi (1990) and Bandura (1986), demonstrating that the "peak state" in aquatic environments is achieved through a dynamic balance where personal agency—specifically the belief in one's ability to overcome environmental hazards—engineers the transition into total immersion.5.2 Practical Contributions and Managerial Implications From a managerial perspective, the confirmed "partial mediation" model offers a scientific foundation for what this study terms "Reverse Competency Definition." Since the total effect of risk on flow (β = 0.549) is largely driven through the mediators of competence and efficacy, marine leisure operators should shift their focus from simple equipment rental to psychological empowerment. Managers and coaches should prioritize the cultivation of four core professional competencies: Risk Communication, to mitigate blind anxiety; Scaffolding Instruction, to enhance perceived competence; Confidence Building, to strengthen self-efficacy; and Situational Guidance, to induce flow. By designing "controlled-challenge" environments and providing immediate technical feedback, operators can help tourists reach the flow state more effectively. This transition from a service-based to a competency-based model is essential for the sustainable development of the marine tourism industry in regions like Penghu, ultimately enhancing experiential value and fostering long-term brand loyalty.</w:t>
      </w:r>
    </w:p>
    <w:p w:rsidR="00C52C6B" w:rsidRPr="00DF7547" w:rsidRDefault="00C52C6B" w:rsidP="00C52C6B">
      <w:pPr>
        <w:pStyle w:val="D11"/>
        <w:rPr>
          <w:rFonts w:ascii="Times New Roman" w:hAnsi="Times New Roman" w:cs="Times New Roman"/>
        </w:rPr>
      </w:pPr>
      <w:r w:rsidRPr="00DC710D">
        <w:rPr>
          <w:rFonts w:ascii="Times New Roman" w:hAnsi="Times New Roman" w:cs="Times New Roman"/>
        </w:rPr>
        <w:t>R</w:t>
      </w:r>
      <w:r>
        <w:rPr>
          <w:rFonts w:ascii="Times New Roman" w:hAnsi="Times New Roman" w:cs="Times New Roman"/>
        </w:rPr>
        <w:t>EFERENCES</w:t>
      </w:r>
    </w:p>
    <w:p w:rsidR="00C52C6B" w:rsidRDefault="00C52C6B" w:rsidP="00C52C6B">
      <w:pPr>
        <w:pStyle w:val="D33-1-"/>
      </w:pPr>
      <w:r>
        <w:t xml:space="preserve">Bandura, A. (1977). Self-efficacy: </w:t>
      </w:r>
      <w:r w:rsidRPr="003638A8">
        <w:rPr>
          <w:b/>
        </w:rPr>
        <w:t>Toward a unifying theory of behavioral change</w:t>
      </w:r>
      <w:r>
        <w:t>. Psychological Review, 84(2), 191–215.</w:t>
      </w:r>
    </w:p>
    <w:p w:rsidR="00C52C6B" w:rsidRDefault="00C52C6B" w:rsidP="00C52C6B">
      <w:pPr>
        <w:pStyle w:val="D33-1-"/>
      </w:pPr>
      <w:r>
        <w:lastRenderedPageBreak/>
        <w:t xml:space="preserve">Bandura, A. (1986). </w:t>
      </w:r>
      <w:r w:rsidRPr="003638A8">
        <w:rPr>
          <w:b/>
        </w:rPr>
        <w:t>Social foundations of thought and action: A social cognitive theory.</w:t>
      </w:r>
      <w:r>
        <w:t xml:space="preserve"> Prentice-Hall.</w:t>
      </w:r>
    </w:p>
    <w:p w:rsidR="00C52C6B" w:rsidRDefault="00C52C6B" w:rsidP="00C52C6B">
      <w:pPr>
        <w:pStyle w:val="D33-1-"/>
      </w:pPr>
      <w:r>
        <w:t>Bauer, R. A. (1960).</w:t>
      </w:r>
      <w:r w:rsidRPr="003638A8">
        <w:rPr>
          <w:b/>
        </w:rPr>
        <w:t xml:space="preserve"> Consumer behavior as risk taking</w:t>
      </w:r>
      <w:r>
        <w:t xml:space="preserve">. </w:t>
      </w:r>
      <w:r w:rsidRPr="003638A8">
        <w:rPr>
          <w:b/>
        </w:rPr>
        <w:t>In R. S. Hancock (Ed.), Dynamic Marketing for a Changing World</w:t>
      </w:r>
      <w:r>
        <w:t xml:space="preserve"> (pp. 389–398). American Marketing Association.</w:t>
      </w:r>
    </w:p>
    <w:p w:rsidR="00C52C6B" w:rsidRDefault="00C52C6B" w:rsidP="00C52C6B">
      <w:pPr>
        <w:pStyle w:val="D33-1-"/>
      </w:pPr>
      <w:r>
        <w:t xml:space="preserve">Couturier, A., Carfantan, M., &amp; Roux, P. (2022). </w:t>
      </w:r>
      <w:r w:rsidRPr="003638A8">
        <w:rPr>
          <w:b/>
        </w:rPr>
        <w:t>Managing risk in adventure tourism: A study on the balance between safety and challenge in aquatic settings.</w:t>
      </w:r>
      <w:r>
        <w:t xml:space="preserve"> Journal of Adventure Education and Outdoor Learning, 22(3), 245–259.</w:t>
      </w:r>
    </w:p>
    <w:p w:rsidR="00C52C6B" w:rsidRDefault="00C52C6B" w:rsidP="00C52C6B">
      <w:pPr>
        <w:pStyle w:val="D33-1-"/>
      </w:pPr>
      <w:r>
        <w:t xml:space="preserve">Csikszentmihalyi, M. (1990). </w:t>
      </w:r>
      <w:r w:rsidRPr="003638A8">
        <w:rPr>
          <w:b/>
        </w:rPr>
        <w:t>Flow: The psychology of optimal experience.</w:t>
      </w:r>
      <w:r>
        <w:t xml:space="preserve"> Harper &amp; Row.</w:t>
      </w:r>
    </w:p>
    <w:p w:rsidR="00C52C6B" w:rsidRDefault="00C52C6B" w:rsidP="00C52C6B">
      <w:pPr>
        <w:pStyle w:val="D33-1-"/>
      </w:pPr>
      <w:r>
        <w:t xml:space="preserve">Ding, H., Hung, K. P., Peng, N., &amp; Chen, A. (2021). </w:t>
      </w:r>
      <w:r w:rsidRPr="003638A8">
        <w:rPr>
          <w:b/>
        </w:rPr>
        <w:t>Experiential value of exhibition in the cultural and creative park: Antecedents and effects on CCP experiential value and behavior intentions</w:t>
      </w:r>
      <w:r>
        <w:t>. Sustainability, 13(13), 7100.</w:t>
      </w:r>
    </w:p>
    <w:p w:rsidR="00C52C6B" w:rsidRDefault="00C52C6B" w:rsidP="00C52C6B">
      <w:pPr>
        <w:pStyle w:val="D33-1-"/>
      </w:pPr>
      <w:r>
        <w:t xml:space="preserve">Efron, B. (1979). </w:t>
      </w:r>
      <w:r w:rsidRPr="003638A8">
        <w:rPr>
          <w:b/>
        </w:rPr>
        <w:t>Bootstrap methods: Another look at the jackknife</w:t>
      </w:r>
      <w:r>
        <w:t>. The Annals of Statistics, 7(1), 1–26.</w:t>
      </w:r>
    </w:p>
    <w:p w:rsidR="00C52C6B" w:rsidRDefault="00C52C6B" w:rsidP="00C52C6B">
      <w:pPr>
        <w:pStyle w:val="D33-1-"/>
      </w:pPr>
      <w:r>
        <w:t xml:space="preserve">Hair, J. F., Black, W. C., Babin, B. J., &amp; Anderson, R. E. (2019). </w:t>
      </w:r>
      <w:r w:rsidRPr="003638A8">
        <w:rPr>
          <w:b/>
        </w:rPr>
        <w:t>Multivariate Data Analysis</w:t>
      </w:r>
      <w:r>
        <w:t xml:space="preserve"> (8th ed.). Cengage Learning.</w:t>
      </w:r>
    </w:p>
    <w:p w:rsidR="00C52C6B" w:rsidRDefault="00C52C6B" w:rsidP="00C52C6B">
      <w:pPr>
        <w:pStyle w:val="D33-1-"/>
      </w:pPr>
      <w:r>
        <w:t xml:space="preserve">Hajibaba, H., Gretzel, U., &amp; Dolnicar, S. (2021). </w:t>
      </w:r>
      <w:r w:rsidRPr="003638A8">
        <w:rPr>
          <w:b/>
        </w:rPr>
        <w:t>Risk mitigation in tourism: How professional intervention shapes perceived risk.</w:t>
      </w:r>
      <w:r>
        <w:t xml:space="preserve"> Annals of Tourism Research, 88, 103–115.</w:t>
      </w:r>
    </w:p>
    <w:p w:rsidR="00C52C6B" w:rsidRDefault="00C52C6B" w:rsidP="00C52C6B">
      <w:pPr>
        <w:pStyle w:val="D33-1-"/>
      </w:pPr>
      <w:r>
        <w:t xml:space="preserve">Houge Mackenzie, S., &amp; Brymer, E. (2020). </w:t>
      </w:r>
      <w:r w:rsidRPr="003638A8">
        <w:rPr>
          <w:b/>
        </w:rPr>
        <w:t>Conceptualizing adventurous nature-based experiences: The role of well-being, psychological resilience, and flow.</w:t>
      </w:r>
      <w:r>
        <w:t xml:space="preserve"> Frontiers in Psychology, 11, 1–15.</w:t>
      </w:r>
    </w:p>
    <w:p w:rsidR="00C52C6B" w:rsidRDefault="00C52C6B" w:rsidP="00C52C6B">
      <w:pPr>
        <w:pStyle w:val="D33-1-"/>
      </w:pPr>
      <w:r>
        <w:t xml:space="preserve">Mainieri, T. L., &amp; Knott, C. L. (2023). </w:t>
      </w:r>
      <w:r w:rsidRPr="003638A8">
        <w:rPr>
          <w:b/>
        </w:rPr>
        <w:t>Challenge-skill balance in aquatic settings: Inducing flow in paddle sports.</w:t>
      </w:r>
      <w:r>
        <w:t xml:space="preserve"> Leisure Sciences, 45(2), 154–172.</w:t>
      </w:r>
    </w:p>
    <w:p w:rsidR="00C52C6B" w:rsidRDefault="00C52C6B" w:rsidP="00C52C6B">
      <w:pPr>
        <w:pStyle w:val="D33-1-"/>
      </w:pPr>
      <w:r>
        <w:t xml:space="preserve">Preacher, K. J., &amp; Hayes, A. F. (2004). </w:t>
      </w:r>
      <w:r w:rsidRPr="003638A8">
        <w:rPr>
          <w:b/>
        </w:rPr>
        <w:t xml:space="preserve">SPSS and SAS procedures for </w:t>
      </w:r>
      <w:r w:rsidRPr="003638A8">
        <w:rPr>
          <w:b/>
        </w:rPr>
        <w:lastRenderedPageBreak/>
        <w:t>estimating indirect effects in simple mediation models</w:t>
      </w:r>
      <w:r>
        <w:t>. Behavior Research Methods, Instruments, &amp; Computers, 36(4), 717–731.</w:t>
      </w:r>
    </w:p>
    <w:p w:rsidR="00C52C6B" w:rsidRDefault="00C52C6B" w:rsidP="00C52C6B">
      <w:pPr>
        <w:pStyle w:val="D33-1-"/>
      </w:pPr>
      <w:r>
        <w:t xml:space="preserve">Schöbel, M., Schade, F., &amp; Sassenberg, K. (2021). </w:t>
      </w:r>
      <w:r w:rsidRPr="003638A8">
        <w:rPr>
          <w:b/>
        </w:rPr>
        <w:t>Self-efficacy and risk perception in extreme environments: A psychological resilience perspective.</w:t>
      </w:r>
      <w:r>
        <w:t xml:space="preserve"> Risk Analysis, 41(5), 789–804.</w:t>
      </w:r>
    </w:p>
    <w:p w:rsidR="00C52C6B" w:rsidRDefault="00C52C6B" w:rsidP="00C52C6B">
      <w:pPr>
        <w:pStyle w:val="D33-1-"/>
      </w:pPr>
      <w:r>
        <w:t xml:space="preserve">Wang, J., Wu, B., &amp; Morrison, A. M. (2019). </w:t>
      </w:r>
      <w:r w:rsidRPr="003638A8">
        <w:rPr>
          <w:b/>
        </w:rPr>
        <w:t>Psychological empowerment in marine sports: The role of instructor guidance and perceived competence.</w:t>
      </w:r>
      <w:r>
        <w:t xml:space="preserve"> Tourism Management, 74, 115–128.</w:t>
      </w:r>
    </w:p>
    <w:p w:rsidR="00C52C6B" w:rsidRDefault="00C52C6B" w:rsidP="00C52C6B">
      <w:pPr>
        <w:pStyle w:val="D33-1-"/>
      </w:pPr>
      <w:r>
        <w:t xml:space="preserve">Wang, S. L. (2006). </w:t>
      </w:r>
      <w:r w:rsidRPr="003638A8">
        <w:rPr>
          <w:b/>
        </w:rPr>
        <w:t>A study on the relationship between risk perception and behavior of participants in marine sports</w:t>
      </w:r>
      <w:r>
        <w:t>. (Cited as Wang, 2006 in text).</w:t>
      </w:r>
    </w:p>
    <w:p w:rsidR="00C52C6B" w:rsidRDefault="00C52C6B" w:rsidP="00C52C6B">
      <w:pPr>
        <w:pStyle w:val="D33-1-"/>
      </w:pPr>
      <w:r>
        <w:t xml:space="preserve">White, R. W. (1959). </w:t>
      </w:r>
      <w:r w:rsidRPr="003638A8">
        <w:rPr>
          <w:b/>
        </w:rPr>
        <w:t>Motivation reconsidered: The concept of competence.</w:t>
      </w:r>
      <w:r>
        <w:t xml:space="preserve"> Psychological Review, 66(5), 297–333.</w:t>
      </w:r>
    </w:p>
    <w:p w:rsidR="00604938" w:rsidRDefault="00C52C6B" w:rsidP="0011771F">
      <w:pPr>
        <w:pStyle w:val="D33-1-"/>
      </w:pPr>
      <w:r>
        <w:t xml:space="preserve">Zhu, Y., &amp; Liu, S. (2024). </w:t>
      </w:r>
      <w:r w:rsidRPr="003638A8">
        <w:rPr>
          <w:b/>
        </w:rPr>
        <w:t>Psychological engagement and experiential value in family tourism: The mediating role of flow experience.</w:t>
      </w:r>
      <w:r>
        <w:t xml:space="preserve"> Tourism and Leisure Research (Translated title as cited in text).</w:t>
      </w:r>
    </w:p>
    <w:p w:rsidR="0011771F" w:rsidRDefault="0011771F" w:rsidP="0011771F">
      <w:pPr>
        <w:pStyle w:val="D33-1-"/>
      </w:pPr>
    </w:p>
    <w:p w:rsidR="0011771F" w:rsidRPr="00C52C6B" w:rsidRDefault="0011771F" w:rsidP="0011771F">
      <w:pPr>
        <w:pStyle w:val="D33-1-"/>
      </w:pPr>
    </w:p>
    <w:sectPr w:rsidR="0011771F" w:rsidRPr="00C52C6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010" w:rsidRDefault="005F2010" w:rsidP="00604938">
      <w:r>
        <w:separator/>
      </w:r>
    </w:p>
  </w:endnote>
  <w:endnote w:type="continuationSeparator" w:id="0">
    <w:p w:rsidR="005F2010" w:rsidRDefault="005F2010" w:rsidP="00604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77A" w:rsidRDefault="00B1477A">
    <w:pPr>
      <w:pStyle w:val="a5"/>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77264"/>
      <w:docPartObj>
        <w:docPartGallery w:val="Page Numbers (Bottom of Page)"/>
        <w:docPartUnique/>
      </w:docPartObj>
    </w:sdtPr>
    <w:sdtEndPr/>
    <w:sdtContent>
      <w:p w:rsidR="00B1477A" w:rsidRPr="009C298E" w:rsidRDefault="00B1477A" w:rsidP="005028F9">
        <w:pPr>
          <w:pStyle w:val="a5"/>
          <w:spacing w:before="120" w:after="120"/>
          <w:jc w:val="center"/>
        </w:pPr>
        <w:r>
          <w:fldChar w:fldCharType="begin"/>
        </w:r>
        <w:r>
          <w:instrText>PAGE   \* MERGEFORMAT</w:instrText>
        </w:r>
        <w:r>
          <w:fldChar w:fldCharType="separate"/>
        </w:r>
        <w:r w:rsidR="00157BD4" w:rsidRPr="00157BD4">
          <w:rPr>
            <w:noProof/>
            <w:lang w:val="zh-TW"/>
          </w:rPr>
          <w:t>i</w:t>
        </w:r>
        <w:r>
          <w:rPr>
            <w:noProof/>
            <w:lang w:val="zh-TW"/>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77A" w:rsidRDefault="00B1477A">
    <w:pPr>
      <w:pStyle w:val="a5"/>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010" w:rsidRDefault="005F2010" w:rsidP="00604938">
      <w:r>
        <w:separator/>
      </w:r>
    </w:p>
  </w:footnote>
  <w:footnote w:type="continuationSeparator" w:id="0">
    <w:p w:rsidR="005F2010" w:rsidRDefault="005F2010" w:rsidP="00604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77A" w:rsidRPr="004E26F7" w:rsidRDefault="00B1477A" w:rsidP="005028F9">
    <w:pPr>
      <w:pStyle w:val="a3"/>
      <w:spacing w:before="120" w:after="120"/>
      <w:jc w:val="right"/>
    </w:pPr>
    <w:r>
      <w:rPr>
        <w:noProof/>
      </w:rPr>
      <w:drawing>
        <wp:anchor distT="0" distB="0" distL="114300" distR="114300" simplePos="0" relativeHeight="251660288" behindDoc="1" locked="0" layoutInCell="0" allowOverlap="1" wp14:anchorId="1BE5B3C5" wp14:editId="562E4D87">
          <wp:simplePos x="0" y="0"/>
          <wp:positionH relativeFrom="margin">
            <wp:align>center</wp:align>
          </wp:positionH>
          <wp:positionV relativeFrom="margin">
            <wp:align>center</wp:align>
          </wp:positionV>
          <wp:extent cx="5203825" cy="5231130"/>
          <wp:effectExtent l="0" t="0" r="0" b="7620"/>
          <wp:wrapNone/>
          <wp:docPr id="3" name="圖片 3" descr="cropped-NPUDTL-1024x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pped-NPUDTL-1024x201-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203825" cy="5231130"/>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rPr>
      <w:t>澎湖科技大學觀光休閒系碩士論文</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77A" w:rsidRPr="001C6FA5" w:rsidRDefault="00B1477A" w:rsidP="005028F9">
    <w:pPr>
      <w:pStyle w:val="a3"/>
      <w:spacing w:before="120" w:after="12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77A" w:rsidRDefault="00B1477A">
    <w:pPr>
      <w:pStyle w:val="a3"/>
      <w:spacing w:before="120" w:after="120"/>
    </w:pPr>
    <w:r>
      <w:rPr>
        <w:noProof/>
      </w:rPr>
      <w:drawing>
        <wp:anchor distT="0" distB="0" distL="114300" distR="114300" simplePos="0" relativeHeight="251659264" behindDoc="1" locked="0" layoutInCell="0" allowOverlap="1" wp14:anchorId="49612064" wp14:editId="2E2468D5">
          <wp:simplePos x="0" y="0"/>
          <wp:positionH relativeFrom="margin">
            <wp:align>center</wp:align>
          </wp:positionH>
          <wp:positionV relativeFrom="margin">
            <wp:align>center</wp:align>
          </wp:positionV>
          <wp:extent cx="5203825" cy="5231130"/>
          <wp:effectExtent l="0" t="0" r="0" b="7620"/>
          <wp:wrapNone/>
          <wp:docPr id="2" name="圖片 2" descr="cropped-NPUDTL-1024x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pped-NPUDTL-1024x201-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203825" cy="523113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A73"/>
    <w:rsid w:val="0011771F"/>
    <w:rsid w:val="00157BD4"/>
    <w:rsid w:val="00432A73"/>
    <w:rsid w:val="005F2010"/>
    <w:rsid w:val="00604938"/>
    <w:rsid w:val="00731965"/>
    <w:rsid w:val="008E4524"/>
    <w:rsid w:val="00AC1C56"/>
    <w:rsid w:val="00B1477A"/>
    <w:rsid w:val="00C52C6B"/>
    <w:rsid w:val="00D91BE2"/>
    <w:rsid w:val="00F76B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E95E1C-FBC8-4DEB-9B56-96404C409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4938"/>
    <w:pPr>
      <w:tabs>
        <w:tab w:val="center" w:pos="4153"/>
        <w:tab w:val="right" w:pos="8306"/>
      </w:tabs>
      <w:snapToGrid w:val="0"/>
    </w:pPr>
    <w:rPr>
      <w:sz w:val="20"/>
      <w:szCs w:val="20"/>
    </w:rPr>
  </w:style>
  <w:style w:type="character" w:customStyle="1" w:styleId="a4">
    <w:name w:val="頁首 字元"/>
    <w:basedOn w:val="a0"/>
    <w:link w:val="a3"/>
    <w:uiPriority w:val="99"/>
    <w:rsid w:val="00604938"/>
    <w:rPr>
      <w:sz w:val="20"/>
      <w:szCs w:val="20"/>
    </w:rPr>
  </w:style>
  <w:style w:type="paragraph" w:styleId="a5">
    <w:name w:val="footer"/>
    <w:basedOn w:val="a"/>
    <w:link w:val="a6"/>
    <w:uiPriority w:val="99"/>
    <w:unhideWhenUsed/>
    <w:rsid w:val="00604938"/>
    <w:pPr>
      <w:tabs>
        <w:tab w:val="center" w:pos="4153"/>
        <w:tab w:val="right" w:pos="8306"/>
      </w:tabs>
      <w:snapToGrid w:val="0"/>
    </w:pPr>
    <w:rPr>
      <w:sz w:val="20"/>
      <w:szCs w:val="20"/>
    </w:rPr>
  </w:style>
  <w:style w:type="character" w:customStyle="1" w:styleId="a6">
    <w:name w:val="頁尾 字元"/>
    <w:basedOn w:val="a0"/>
    <w:link w:val="a5"/>
    <w:uiPriority w:val="99"/>
    <w:rsid w:val="00604938"/>
    <w:rPr>
      <w:sz w:val="20"/>
      <w:szCs w:val="20"/>
    </w:rPr>
  </w:style>
  <w:style w:type="table" w:styleId="a7">
    <w:name w:val="Table Grid"/>
    <w:basedOn w:val="a1"/>
    <w:uiPriority w:val="39"/>
    <w:rsid w:val="00B14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22">
    <w:name w:val="B2_2 英文校所名稱"/>
    <w:basedOn w:val="a"/>
    <w:qFormat/>
    <w:rsid w:val="00B1477A"/>
    <w:pPr>
      <w:widowControl/>
      <w:spacing w:line="360" w:lineRule="exact"/>
      <w:ind w:left="920" w:hangingChars="920" w:hanging="920"/>
      <w:jc w:val="both"/>
    </w:pPr>
    <w:rPr>
      <w:rFonts w:ascii="Times New Roman" w:eastAsia="Times New Roman" w:hAnsi="Times New Roman" w:cs="Times New Roman"/>
      <w:color w:val="000000" w:themeColor="text1"/>
      <w:sz w:val="26"/>
      <w:szCs w:val="26"/>
    </w:rPr>
  </w:style>
  <w:style w:type="paragraph" w:customStyle="1" w:styleId="B23">
    <w:name w:val="B2_3 英文摘要標題"/>
    <w:basedOn w:val="a"/>
    <w:qFormat/>
    <w:rsid w:val="00B1477A"/>
    <w:pPr>
      <w:spacing w:beforeLines="100" w:before="100" w:afterLines="100" w:after="100" w:line="480" w:lineRule="exact"/>
      <w:jc w:val="center"/>
    </w:pPr>
    <w:rPr>
      <w:rFonts w:ascii="Times New Roman" w:eastAsia="Times New Roman" w:hAnsi="Times New Roman" w:cs="Times New Roman"/>
      <w:b/>
      <w:sz w:val="36"/>
      <w:szCs w:val="36"/>
    </w:rPr>
  </w:style>
  <w:style w:type="paragraph" w:customStyle="1" w:styleId="B24">
    <w:name w:val="B2_4 英文摘要內文"/>
    <w:basedOn w:val="a"/>
    <w:qFormat/>
    <w:rsid w:val="00B1477A"/>
    <w:pPr>
      <w:spacing w:line="360" w:lineRule="exact"/>
      <w:ind w:firstLineChars="160" w:firstLine="160"/>
      <w:jc w:val="both"/>
    </w:pPr>
    <w:rPr>
      <w:rFonts w:ascii="Times New Roman" w:eastAsia="Times New Roman" w:hAnsi="Times New Roman" w:cs="Times New Roman"/>
      <w:sz w:val="26"/>
      <w:szCs w:val="26"/>
    </w:rPr>
  </w:style>
  <w:style w:type="paragraph" w:customStyle="1" w:styleId="B25">
    <w:name w:val="B2_5 英文摘要關鍵字"/>
    <w:basedOn w:val="a"/>
    <w:qFormat/>
    <w:rsid w:val="00B1477A"/>
    <w:pPr>
      <w:spacing w:beforeLines="50" w:before="50" w:line="360" w:lineRule="exact"/>
      <w:ind w:left="500" w:hangingChars="500" w:hanging="500"/>
      <w:jc w:val="both"/>
    </w:pPr>
    <w:rPr>
      <w:rFonts w:ascii="Times New Roman" w:eastAsia="Times New Roman" w:hAnsi="Times New Roman" w:cs="Times New Roman"/>
      <w:b/>
      <w:sz w:val="26"/>
      <w:szCs w:val="26"/>
    </w:rPr>
  </w:style>
  <w:style w:type="paragraph" w:customStyle="1" w:styleId="D31-1">
    <w:name w:val="D3_1 標-1 一、"/>
    <w:basedOn w:val="a"/>
    <w:qFormat/>
    <w:rsid w:val="00B1477A"/>
    <w:pPr>
      <w:spacing w:beforeLines="50" w:before="50" w:line="480" w:lineRule="exact"/>
    </w:pPr>
    <w:rPr>
      <w:rFonts w:ascii="Times New Roman" w:eastAsia="標楷體" w:hAnsi="Times New Roman"/>
      <w:b/>
      <w:sz w:val="28"/>
      <w:szCs w:val="26"/>
    </w:rPr>
  </w:style>
  <w:style w:type="table" w:customStyle="1" w:styleId="19">
    <w:name w:val="表格格線19"/>
    <w:basedOn w:val="a1"/>
    <w:next w:val="a7"/>
    <w:uiPriority w:val="39"/>
    <w:rsid w:val="00B1477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1">
    <w:name w:val="E1 表名"/>
    <w:basedOn w:val="a"/>
    <w:qFormat/>
    <w:rsid w:val="00B1477A"/>
    <w:pPr>
      <w:spacing w:beforeLines="100" w:before="100" w:line="480" w:lineRule="exact"/>
      <w:jc w:val="center"/>
    </w:pPr>
    <w:rPr>
      <w:rFonts w:ascii="標楷體" w:eastAsia="標楷體" w:hAnsi="標楷體"/>
      <w:sz w:val="26"/>
      <w:szCs w:val="26"/>
    </w:rPr>
  </w:style>
  <w:style w:type="paragraph" w:customStyle="1" w:styleId="E2-">
    <w:name w:val="E2 表文-標頭"/>
    <w:basedOn w:val="a"/>
    <w:qFormat/>
    <w:rsid w:val="00B1477A"/>
    <w:pPr>
      <w:spacing w:line="280" w:lineRule="exact"/>
      <w:jc w:val="center"/>
    </w:pPr>
    <w:rPr>
      <w:rFonts w:ascii="標楷體" w:eastAsia="標楷體" w:hAnsi="標楷體"/>
      <w:sz w:val="20"/>
      <w:szCs w:val="20"/>
    </w:rPr>
  </w:style>
  <w:style w:type="paragraph" w:customStyle="1" w:styleId="E3">
    <w:name w:val="E3 表文"/>
    <w:basedOn w:val="a"/>
    <w:qFormat/>
    <w:rsid w:val="00B1477A"/>
    <w:pPr>
      <w:spacing w:line="280" w:lineRule="exact"/>
      <w:jc w:val="both"/>
    </w:pPr>
    <w:rPr>
      <w:rFonts w:ascii="Times New Roman" w:eastAsia="標楷體" w:hAnsi="Times New Roman" w:cs="Times New Roman"/>
      <w:sz w:val="20"/>
      <w:szCs w:val="20"/>
      <w:shd w:val="clear" w:color="auto" w:fill="FFFFFF"/>
    </w:rPr>
  </w:style>
  <w:style w:type="paragraph" w:customStyle="1" w:styleId="E6-">
    <w:name w:val="E6 表文-數字"/>
    <w:basedOn w:val="a"/>
    <w:qFormat/>
    <w:rsid w:val="00B1477A"/>
    <w:pPr>
      <w:spacing w:line="280" w:lineRule="exact"/>
      <w:jc w:val="right"/>
    </w:pPr>
    <w:rPr>
      <w:rFonts w:ascii="Times New Roman" w:eastAsia="標楷體" w:hAnsi="Times New Roman" w:cs="Times New Roman"/>
      <w:sz w:val="20"/>
      <w:szCs w:val="20"/>
    </w:rPr>
  </w:style>
  <w:style w:type="paragraph" w:customStyle="1" w:styleId="F1">
    <w:name w:val="F1 圖名"/>
    <w:basedOn w:val="a"/>
    <w:qFormat/>
    <w:rsid w:val="00B1477A"/>
    <w:pPr>
      <w:spacing w:beforeLines="50" w:before="50" w:line="480" w:lineRule="exact"/>
      <w:jc w:val="center"/>
    </w:pPr>
    <w:rPr>
      <w:rFonts w:ascii="Times New Roman" w:eastAsia="標楷體" w:hAnsi="Times New Roman" w:cs="Times New Roman"/>
      <w:szCs w:val="26"/>
    </w:rPr>
  </w:style>
  <w:style w:type="paragraph" w:customStyle="1" w:styleId="E4-">
    <w:name w:val="E4 表文-置中"/>
    <w:basedOn w:val="E3"/>
    <w:qFormat/>
    <w:rsid w:val="00C52C6B"/>
    <w:pPr>
      <w:jc w:val="center"/>
    </w:pPr>
  </w:style>
  <w:style w:type="paragraph" w:customStyle="1" w:styleId="D11">
    <w:name w:val="D1_1 章"/>
    <w:basedOn w:val="a"/>
    <w:qFormat/>
    <w:rsid w:val="00C52C6B"/>
    <w:pPr>
      <w:spacing w:beforeLines="100" w:before="360" w:afterLines="100" w:after="360" w:line="480" w:lineRule="exact"/>
      <w:jc w:val="center"/>
    </w:pPr>
    <w:rPr>
      <w:rFonts w:ascii="標楷體" w:eastAsia="標楷體" w:hAnsi="標楷體"/>
      <w:b/>
      <w:sz w:val="36"/>
      <w:szCs w:val="36"/>
    </w:rPr>
  </w:style>
  <w:style w:type="paragraph" w:customStyle="1" w:styleId="D33-1-">
    <w:name w:val="D3_3 標-1-段落文"/>
    <w:basedOn w:val="a"/>
    <w:qFormat/>
    <w:rsid w:val="00C52C6B"/>
    <w:pPr>
      <w:spacing w:line="480" w:lineRule="exact"/>
      <w:ind w:left="520" w:hangingChars="200" w:hanging="520"/>
      <w:jc w:val="both"/>
    </w:pPr>
    <w:rPr>
      <w:rFonts w:ascii="Times New Roman" w:eastAsia="標楷體"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o@gms.npu.edu.tw" TargetMode="Externa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3815</Words>
  <Characters>21747</Characters>
  <Application>Microsoft Office Word</Application>
  <DocSecurity>0</DocSecurity>
  <Lines>181</Lines>
  <Paragraphs>51</Paragraphs>
  <ScaleCrop>false</ScaleCrop>
  <Company/>
  <LinksUpToDate>false</LinksUpToDate>
  <CharactersWithSpaces>25511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2026-04-28T03:06:00Z</dcterms:created>
  <dcterms:modified xsi:type="dcterms:W3CDTF">2026-04-28T03:06:00Z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ea872ff8-aa6a-4079-9bb8-58a91bb07192</vt:lpwstr>
  </property>
</Properties>
</file>