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E80D7" w14:textId="65AEA49B" w:rsidR="00B43499" w:rsidRPr="003D09CD" w:rsidRDefault="003D09CD" w:rsidP="003D09CD">
      <w:pPr>
        <w:jc w:val="center"/>
        <w:rPr>
          <w:rFonts w:ascii="Times New Roman" w:hAnsi="Times New Roman" w:cs="Times New Roman"/>
          <w:sz w:val="28"/>
          <w:szCs w:val="24"/>
        </w:rPr>
      </w:pPr>
      <w:r w:rsidRPr="003D09CD">
        <w:rPr>
          <w:rFonts w:ascii="Times New Roman" w:hAnsi="Times New Roman" w:cs="Times New Roman"/>
          <w:sz w:val="28"/>
          <w:szCs w:val="24"/>
        </w:rPr>
        <w:t>Personality Traits and Preferences for Teaching Methods in Performing Arts Education:</w:t>
      </w:r>
      <w:r w:rsidRPr="003D09CD">
        <w:rPr>
          <w:rFonts w:ascii="Times New Roman" w:hAnsi="Times New Roman" w:cs="Times New Roman"/>
          <w:sz w:val="28"/>
          <w:szCs w:val="24"/>
        </w:rPr>
        <w:br/>
        <w:t>A Comparison of Dynamic and Static Instruction</w:t>
      </w:r>
    </w:p>
    <w:p w14:paraId="6B7B8944" w14:textId="77777777" w:rsidR="003D09CD" w:rsidRPr="003D09CD" w:rsidRDefault="003D09CD" w:rsidP="003D09CD">
      <w:pPr>
        <w:jc w:val="right"/>
        <w:rPr>
          <w:rFonts w:ascii="Times New Roman" w:hAnsi="Times New Roman" w:cs="Times New Roman"/>
        </w:rPr>
      </w:pPr>
      <w:r w:rsidRPr="003D09CD">
        <w:rPr>
          <w:rFonts w:ascii="Times New Roman" w:hAnsi="Times New Roman" w:cs="Times New Roman"/>
        </w:rPr>
        <w:t>Li Yunshan</w:t>
      </w:r>
    </w:p>
    <w:p w14:paraId="7C17784D" w14:textId="3DF942FD" w:rsidR="003D09CD" w:rsidRDefault="003D09CD" w:rsidP="003D09CD">
      <w:pPr>
        <w:jc w:val="right"/>
        <w:rPr>
          <w:rFonts w:ascii="Times New Roman" w:hAnsi="Times New Roman" w:cs="Times New Roman"/>
          <w:sz w:val="22"/>
          <w:szCs w:val="20"/>
        </w:rPr>
      </w:pPr>
      <w:r>
        <w:rPr>
          <w:rFonts w:ascii="Times New Roman" w:hAnsi="Times New Roman" w:cs="Times New Roman"/>
          <w:noProof/>
          <w:sz w:val="22"/>
          <w:szCs w:val="20"/>
        </w:rPr>
        <mc:AlternateContent>
          <mc:Choice Requires="wps">
            <w:drawing>
              <wp:anchor distT="0" distB="0" distL="114300" distR="114300" simplePos="0" relativeHeight="251659264" behindDoc="0" locked="0" layoutInCell="1" allowOverlap="1" wp14:anchorId="21885A61" wp14:editId="7D02A6F3">
                <wp:simplePos x="0" y="0"/>
                <wp:positionH relativeFrom="column">
                  <wp:posOffset>-327660</wp:posOffset>
                </wp:positionH>
                <wp:positionV relativeFrom="paragraph">
                  <wp:posOffset>381000</wp:posOffset>
                </wp:positionV>
                <wp:extent cx="6065520" cy="0"/>
                <wp:effectExtent l="0" t="0" r="0" b="0"/>
                <wp:wrapNone/>
                <wp:docPr id="1" name="直線接點 1"/>
                <wp:cNvGraphicFramePr/>
                <a:graphic xmlns:a="http://schemas.openxmlformats.org/drawingml/2006/main">
                  <a:graphicData uri="http://schemas.microsoft.com/office/word/2010/wordprocessingShape">
                    <wps:wsp>
                      <wps:cNvCnPr/>
                      <wps:spPr>
                        <a:xfrm>
                          <a:off x="0" y="0"/>
                          <a:ext cx="606552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AE6FD0" id="直線接點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30pt" to="451.8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v48zQEAAMIDAAAOAAAAZHJzL2Uyb0RvYy54bWysU0uOEzEQ3SNxB8t70p1IiaCVzixmBBsE&#10;EZ8DeNzltIV/Kpt05xIcACR23ACJBfdhxC0oO0nPCBBCiI3bdr33ql65en0xWsP2gFF71/L5rOYM&#10;nPSddruWv371+MFDzmISrhPGO2j5ASK/2Ny/tx5CAwvfe9MBMhJxsRlCy/uUQlNVUfZgRZz5AI6C&#10;yqMViY64qzoUA6lbUy3qelUNHruAXkKMdHt1DPJN0VcKZHquVITETMuptlRWLOt1XqvNWjQ7FKHX&#10;8lSG+IcqrNCOkk5SVyIJ9hb1L1JWS/TRqzST3lZeKS2heCA38/onNy97EaB4oebEMLUp/j9Z+Wy/&#10;RaY7ejvOnLD0RDcfPt98ef/t3afvXz+yee7QEGJDwEu3xdMphi1mu6NCm79khI2lq4epqzAmJuly&#10;Va+WywU1X55j1S0xYExPwFuWNy032mXDohH7pzFRMoKeIfnaODZQqY/qZXm6Kld2rKXs0sHAEfYC&#10;FLmi7PMiV+YJLg2yvaBJ6N4UXyRuHCEzRWljJlL9Z9IJm2lQZuxviRO6ZPQuTUSrncffZU3juVR1&#10;xFNP7njN22vfHcrLlAANSmnbaajzJN49F/rtr7f5AQAA//8DAFBLAwQUAAYACAAAACEAf5Mg6d4A&#10;AAAJAQAADwAAAGRycy9kb3ducmV2LnhtbEyPTUvDQBCG74L/YRnBi7S7VZNqzKaI4CFCBdvieZud&#10;JtHsbMhu0/jvHfGgx3nn4f3IV5PrxIhDaD1pWMwVCKTK25ZqDbvt8+wORIiGrOk8oYYvDLAqzs9y&#10;k1l/ojccN7EWbEIhMxqaGPtMylA16EyY+x6Jfwc/OBP5HGppB3Nic9fJa6VS6UxLnNCYHp8arD43&#10;R6fho3wv6+Rq2R5eb5MXsx2TNY2l1pcX0+MDiIhT/IPhpz5Xh4I77f2RbBCdhlmySBnVkCrexMC9&#10;umFh/yvIIpf/FxTfAAAA//8DAFBLAQItABQABgAIAAAAIQC2gziS/gAAAOEBAAATAAAAAAAAAAAA&#10;AAAAAAAAAABbQ29udGVudF9UeXBlc10ueG1sUEsBAi0AFAAGAAgAAAAhADj9If/WAAAAlAEAAAsA&#10;AAAAAAAAAAAAAAAALwEAAF9yZWxzLy5yZWxzUEsBAi0AFAAGAAgAAAAhAE+C/jzNAQAAwgMAAA4A&#10;AAAAAAAAAAAAAAAALgIAAGRycy9lMm9Eb2MueG1sUEsBAi0AFAAGAAgAAAAhAH+TIOneAAAACQEA&#10;AA8AAAAAAAAAAAAAAAAAJwQAAGRycy9kb3ducmV2LnhtbFBLBQYAAAAABAAEAPMAAAAyBQAAAAA=&#10;" strokecolor="black [3200]" strokeweight="1.5pt">
                <v:stroke joinstyle="miter"/>
              </v:line>
            </w:pict>
          </mc:Fallback>
        </mc:AlternateContent>
      </w:r>
      <w:r w:rsidRPr="003D09CD">
        <w:rPr>
          <w:rFonts w:ascii="Times New Roman" w:hAnsi="Times New Roman" w:cs="Times New Roman"/>
          <w:sz w:val="22"/>
          <w:szCs w:val="20"/>
        </w:rPr>
        <w:t>Taichung City, Taiwan 404 National Taiwan University of Sport, Master of Dance Program</w:t>
      </w:r>
    </w:p>
    <w:p w14:paraId="1E8BB5A9" w14:textId="70C4CE63" w:rsidR="003D09CD" w:rsidRDefault="003D09CD" w:rsidP="003D09CD">
      <w:pPr>
        <w:jc w:val="right"/>
        <w:rPr>
          <w:rFonts w:ascii="Times New Roman" w:hAnsi="Times New Roman" w:cs="Times New Roman"/>
          <w:sz w:val="22"/>
          <w:szCs w:val="20"/>
        </w:rPr>
      </w:pPr>
    </w:p>
    <w:p w14:paraId="492E9C6F" w14:textId="207982A9" w:rsidR="003D09CD" w:rsidRPr="005C1532" w:rsidRDefault="003D09CD" w:rsidP="003D09CD">
      <w:pPr>
        <w:rPr>
          <w:rFonts w:ascii="Times New Roman" w:hAnsi="Times New Roman" w:cs="Times New Roman"/>
          <w:b/>
          <w:bCs/>
          <w:szCs w:val="24"/>
        </w:rPr>
      </w:pPr>
      <w:r w:rsidRPr="005C1532">
        <w:rPr>
          <w:rFonts w:ascii="Times New Roman" w:hAnsi="Times New Roman" w:cs="Times New Roman"/>
          <w:b/>
          <w:bCs/>
          <w:szCs w:val="24"/>
        </w:rPr>
        <w:t>Abstract</w:t>
      </w:r>
    </w:p>
    <w:p w14:paraId="172151B0" w14:textId="53A9CD20" w:rsidR="003D09CD" w:rsidRDefault="003D09CD" w:rsidP="003D09CD">
      <w:pPr>
        <w:widowControl/>
        <w:rPr>
          <w:rFonts w:ascii="Times New Roman" w:eastAsia="新細明體" w:hAnsi="Times New Roman" w:cs="Times New Roman"/>
          <w:kern w:val="0"/>
          <w:szCs w:val="24"/>
        </w:rPr>
      </w:pPr>
      <w:r w:rsidRPr="003D09CD">
        <w:rPr>
          <w:rFonts w:ascii="Times New Roman" w:eastAsia="新細明體" w:hAnsi="Times New Roman" w:cs="Times New Roman"/>
          <w:kern w:val="0"/>
          <w:szCs w:val="24"/>
        </w:rPr>
        <w:t xml:space="preserve">This study aimed to examine the relationship between junior high school students’ personality traits and their preferences for different teaching methods in performing arts education, with a particular focus on the distinction between dynamic and static instructional approaches. The participants were ninth-grade students from a junior high school in Taichung, Taiwan, with 132 valid questionnaires collected. A five-point Likert scale was used to measure students’ preferences for video-based instruction and stage-based practical instruction. Data were analyzed using descriptive statistics, one-way analysis of variance (ANOVA), Tukey’s post hoc test, paired-samples t-test, and effect size </w:t>
      </w:r>
      <w:proofErr w:type="spellStart"/>
      <w:proofErr w:type="gramStart"/>
      <w:r w:rsidRPr="003D09CD">
        <w:rPr>
          <w:rFonts w:ascii="Times New Roman" w:eastAsia="新細明體" w:hAnsi="Times New Roman" w:cs="Times New Roman"/>
          <w:kern w:val="0"/>
          <w:szCs w:val="24"/>
        </w:rPr>
        <w:t>analysis.The</w:t>
      </w:r>
      <w:proofErr w:type="spellEnd"/>
      <w:proofErr w:type="gramEnd"/>
      <w:r w:rsidRPr="003D09CD">
        <w:rPr>
          <w:rFonts w:ascii="Times New Roman" w:eastAsia="新細明體" w:hAnsi="Times New Roman" w:cs="Times New Roman"/>
          <w:kern w:val="0"/>
          <w:szCs w:val="24"/>
        </w:rPr>
        <w:t xml:space="preserve"> results indicated significant differences in teaching method preferences across personality types. Specifically, students classified as Types 8 and 9 showed significantly higher preferences for stage-based practical instruction compared to most other personality types. In contrast, students classified as Types 1 through 7 demonstrated significantly higher preferences for video-based instruction than Types 8 and 9, revealing a clear differentiation between dynamic and static learning preferences. Furthermore, the paired-samples t-test showed no significant difference between the two instructional formats at the overall level (</w:t>
      </w:r>
      <w:proofErr w:type="gramStart"/>
      <w:r w:rsidRPr="003D09CD">
        <w:rPr>
          <w:rFonts w:ascii="Times New Roman" w:eastAsia="新細明體" w:hAnsi="Times New Roman" w:cs="Times New Roman"/>
          <w:kern w:val="0"/>
          <w:szCs w:val="24"/>
        </w:rPr>
        <w:t>t(</w:t>
      </w:r>
      <w:proofErr w:type="gramEnd"/>
      <w:r w:rsidRPr="003D09CD">
        <w:rPr>
          <w:rFonts w:ascii="Times New Roman" w:eastAsia="新細明體" w:hAnsi="Times New Roman" w:cs="Times New Roman"/>
          <w:kern w:val="0"/>
          <w:szCs w:val="24"/>
        </w:rPr>
        <w:t xml:space="preserve">81) = 1.725, p = .088), with a small effect size (Cohen’s d = 0.19), suggesting comparable levels of overall </w:t>
      </w:r>
      <w:proofErr w:type="spellStart"/>
      <w:r w:rsidRPr="003D09CD">
        <w:rPr>
          <w:rFonts w:ascii="Times New Roman" w:eastAsia="新細明體" w:hAnsi="Times New Roman" w:cs="Times New Roman"/>
          <w:kern w:val="0"/>
          <w:szCs w:val="24"/>
        </w:rPr>
        <w:t>acceptance.Overall</w:t>
      </w:r>
      <w:proofErr w:type="spellEnd"/>
      <w:r w:rsidRPr="003D09CD">
        <w:rPr>
          <w:rFonts w:ascii="Times New Roman" w:eastAsia="新細明體" w:hAnsi="Times New Roman" w:cs="Times New Roman"/>
          <w:kern w:val="0"/>
          <w:szCs w:val="24"/>
        </w:rPr>
        <w:t>, the findings reveal a pattern of “balanced overall preference but differentiated individual tendencies.” These results suggest that relying solely on general trends in instructional design may overlook the diverse learning needs associated with different personality traits. It is therefore recommended that teachers adopt flexible and diversified teaching strategies to enhance student engagement and instructional effectiveness.</w:t>
      </w:r>
    </w:p>
    <w:p w14:paraId="6FFE5624" w14:textId="77777777" w:rsidR="003D09CD" w:rsidRPr="003D09CD" w:rsidRDefault="003D09CD" w:rsidP="003D09CD">
      <w:pPr>
        <w:widowControl/>
        <w:rPr>
          <w:rFonts w:ascii="Times New Roman" w:eastAsia="新細明體" w:hAnsi="Times New Roman" w:cs="Times New Roman"/>
          <w:kern w:val="0"/>
          <w:szCs w:val="24"/>
        </w:rPr>
      </w:pPr>
    </w:p>
    <w:p w14:paraId="74477FD0" w14:textId="79C2ABAF" w:rsidR="003D09CD" w:rsidRPr="003D09CD" w:rsidRDefault="003D09CD" w:rsidP="003D09CD">
      <w:pPr>
        <w:widowControl/>
        <w:rPr>
          <w:rFonts w:ascii="Times New Roman" w:eastAsia="新細明體" w:hAnsi="Times New Roman" w:cs="Times New Roman"/>
          <w:kern w:val="0"/>
          <w:szCs w:val="24"/>
        </w:rPr>
      </w:pPr>
      <w:r w:rsidRPr="003D09CD">
        <w:rPr>
          <w:rFonts w:ascii="Times New Roman" w:eastAsia="新細明體" w:hAnsi="Times New Roman" w:cs="Times New Roman"/>
          <w:b/>
          <w:bCs/>
          <w:kern w:val="0"/>
          <w:szCs w:val="24"/>
        </w:rPr>
        <w:t>Keywords:</w:t>
      </w:r>
      <w:r w:rsidRPr="003D09CD">
        <w:rPr>
          <w:rFonts w:ascii="Times New Roman" w:eastAsia="新細明體" w:hAnsi="Times New Roman" w:cs="Times New Roman"/>
          <w:kern w:val="0"/>
          <w:szCs w:val="24"/>
        </w:rPr>
        <w:t xml:space="preserve"> Personality traits, Numerology, Dynamic instruction, Static instruction, Performing arts education</w:t>
      </w:r>
    </w:p>
    <w:p w14:paraId="303BE9C4" w14:textId="77777777" w:rsidR="00DB4C3E" w:rsidRDefault="00DB4C3E" w:rsidP="003D09CD">
      <w:pPr>
        <w:rPr>
          <w:rFonts w:ascii="Times New Roman" w:hAnsi="Times New Roman" w:cs="Times New Roman"/>
          <w:sz w:val="22"/>
          <w:szCs w:val="20"/>
        </w:rPr>
      </w:pPr>
    </w:p>
    <w:p w14:paraId="2DC4EADC" w14:textId="77777777" w:rsidR="00DB4C3E" w:rsidRDefault="00DB4C3E" w:rsidP="003D09CD">
      <w:pPr>
        <w:rPr>
          <w:rFonts w:ascii="Times New Roman" w:hAnsi="Times New Roman" w:cs="Times New Roman"/>
          <w:sz w:val="22"/>
          <w:szCs w:val="20"/>
        </w:rPr>
      </w:pPr>
    </w:p>
    <w:p w14:paraId="2C888D63" w14:textId="0583D667" w:rsidR="003D09CD" w:rsidRDefault="003D09CD" w:rsidP="003D09CD">
      <w:pPr>
        <w:rPr>
          <w:rFonts w:ascii="Times New Roman" w:hAnsi="Times New Roman" w:cs="Times New Roman"/>
          <w:sz w:val="22"/>
          <w:szCs w:val="20"/>
        </w:rPr>
      </w:pPr>
      <w:r>
        <w:rPr>
          <w:rFonts w:ascii="Times New Roman" w:hAnsi="Times New Roman" w:cs="Times New Roman"/>
          <w:noProof/>
          <w:sz w:val="22"/>
          <w:szCs w:val="20"/>
        </w:rPr>
        <mc:AlternateContent>
          <mc:Choice Requires="wps">
            <w:drawing>
              <wp:anchor distT="0" distB="0" distL="114300" distR="114300" simplePos="0" relativeHeight="251661312" behindDoc="0" locked="0" layoutInCell="1" allowOverlap="1" wp14:anchorId="63D58651" wp14:editId="388BB351">
                <wp:simplePos x="0" y="0"/>
                <wp:positionH relativeFrom="margin">
                  <wp:align>center</wp:align>
                </wp:positionH>
                <wp:positionV relativeFrom="paragraph">
                  <wp:posOffset>217714</wp:posOffset>
                </wp:positionV>
                <wp:extent cx="6065520" cy="0"/>
                <wp:effectExtent l="0" t="0" r="0" b="0"/>
                <wp:wrapNone/>
                <wp:docPr id="2" name="直線接點 2"/>
                <wp:cNvGraphicFramePr/>
                <a:graphic xmlns:a="http://schemas.openxmlformats.org/drawingml/2006/main">
                  <a:graphicData uri="http://schemas.microsoft.com/office/word/2010/wordprocessingShape">
                    <wps:wsp>
                      <wps:cNvCnPr/>
                      <wps:spPr>
                        <a:xfrm>
                          <a:off x="0" y="0"/>
                          <a:ext cx="606552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33B232" id="直線接點 2"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7.15pt" to="477.6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DCzwEAAMIDAAAOAAAAZHJzL2Uyb0RvYy54bWysU0uOEzEQ3SPNHSzviTstJYJWOrOY0bAZ&#10;QcTnAB53OW2Nf7JNunMJDgASO26AxIL7MOIWlJ2kZwQIIcTGbbvee1WvXL06H40mOwhROdvS+ayi&#10;BKxwnbLblr55ffX4CSUxcdtx7Sy0dA+Rnq/PHq0G30Dteqc7CARFbGwG39I+Jd8wFkUPhseZ82Ax&#10;KF0wPOExbFkX+IDqRrO6qpZscKHzwQmIEW8vD0G6LvpSgkgvpIyQiG4p1pbKGsp6k1e2XvFmG7jv&#10;lTiWwf+hCsOVxaST1CVPnLwN6hcpo0Rw0ck0E84wJ6USUDygm3n1k5tXPfdQvGBzop/aFP+frHi+&#10;2wSiupbWlFhu8InuPny++/L+27tP379+JHXu0OBjg8ALuwnHU/SbkO2OMpj8RSNkLF3dT12FMRGB&#10;l8tquVjU2HxxirF7og8xPQNnSN60VCubDfOG765jwmQIPUHytbZkwDF7Wi3K07Fc2aGWskt7DQfY&#10;S5DoCrPPi1yZJ7jQgew4TkJ3O8++UFxbRGaKVFpPpOrPpCM206DM2N8SJ3TJ6GyaiEZZF36XNY2n&#10;UuUBj2U/8Jq3N67bl5cpARyU4uw41HkSH54L/f7XW/8AAAD//wMAUEsDBBQABgAIAAAAIQD1BdMB&#10;3QAAAAYBAAAPAAAAZHJzL2Rvd25yZXYueG1sTI/BTsMwEETvSPyDtZW4IOrQ1tCmcSqExCFIRaJF&#10;nLfxNgnE6yh20/D3GHGA486MZt5mm9G2YqDeN4413E4TEMSlMw1XGt72TzdLED4gG2wdk4Yv8rDJ&#10;Ly8yTI078ysNu1CJWMI+RQ11CF0qpS9rsuinriOO3tH1FkM8+0qaHs+x3LZyliR30mLDcaHGjh5r&#10;Kj93J6vho3gvKnV93xxfFuoZ94Pa8lBofTUZH9YgAo3hLww/+BEd8sh0cCc2XrQa4iNBw3wxBxHd&#10;lVIzEIdfQeaZ/I+ffwMAAP//AwBQSwECLQAUAAYACAAAACEAtoM4kv4AAADhAQAAEwAAAAAAAAAA&#10;AAAAAAAAAAAAW0NvbnRlbnRfVHlwZXNdLnhtbFBLAQItABQABgAIAAAAIQA4/SH/1gAAAJQBAAAL&#10;AAAAAAAAAAAAAAAAAC8BAABfcmVscy8ucmVsc1BLAQItABQABgAIAAAAIQBTlPDCzwEAAMIDAAAO&#10;AAAAAAAAAAAAAAAAAC4CAABkcnMvZTJvRG9jLnhtbFBLAQItABQABgAIAAAAIQD1BdMB3QAAAAYB&#10;AAAPAAAAAAAAAAAAAAAAACkEAABkcnMvZG93bnJldi54bWxQSwUGAAAAAAQABADzAAAAMwUAAAAA&#10;" strokecolor="black [3200]" strokeweight="1.5pt">
                <v:stroke joinstyle="miter"/>
                <w10:wrap anchorx="margin"/>
              </v:line>
            </w:pict>
          </mc:Fallback>
        </mc:AlternateContent>
      </w:r>
    </w:p>
    <w:p w14:paraId="570E43D0" w14:textId="7672D1A9" w:rsidR="00DB4C3E" w:rsidRPr="00DB4C3E" w:rsidRDefault="003D09CD" w:rsidP="00DB4C3E">
      <w:pPr>
        <w:jc w:val="center"/>
        <w:rPr>
          <w:rFonts w:ascii="Times New Roman" w:hAnsi="Times New Roman" w:cs="Times New Roman" w:hint="eastAsia"/>
          <w:sz w:val="20"/>
          <w:szCs w:val="18"/>
        </w:rPr>
      </w:pPr>
      <w:r w:rsidRPr="003D09CD">
        <w:rPr>
          <w:rFonts w:ascii="Times New Roman" w:hAnsi="Times New Roman" w:cs="Times New Roman"/>
          <w:sz w:val="20"/>
          <w:szCs w:val="18"/>
        </w:rPr>
        <w:t xml:space="preserve">Corresponding author: Yun-Shan Li; </w:t>
      </w:r>
      <w:r w:rsidR="009807DD" w:rsidRPr="009807DD">
        <w:rPr>
          <w:rFonts w:ascii="Times New Roman" w:hAnsi="Times New Roman" w:cs="Times New Roman"/>
          <w:sz w:val="20"/>
          <w:szCs w:val="18"/>
        </w:rPr>
        <w:t>Department of Dance, National Taiwan University of Sport</w:t>
      </w:r>
      <w:r w:rsidRPr="003D09CD">
        <w:rPr>
          <w:rFonts w:ascii="Times New Roman" w:hAnsi="Times New Roman" w:cs="Times New Roman"/>
          <w:sz w:val="20"/>
          <w:szCs w:val="18"/>
        </w:rPr>
        <w:t xml:space="preserve">; Email: </w:t>
      </w:r>
      <w:hyperlink r:id="rId8" w:history="1">
        <w:r w:rsidRPr="0019224B">
          <w:rPr>
            <w:rStyle w:val="a4"/>
            <w:rFonts w:ascii="Times New Roman" w:hAnsi="Times New Roman" w:cs="Times New Roman"/>
            <w:sz w:val="20"/>
            <w:szCs w:val="18"/>
          </w:rPr>
          <w:t>11403005@gm.ntus.edu.tw</w:t>
        </w:r>
      </w:hyperlink>
    </w:p>
    <w:p w14:paraId="2F46EA46" w14:textId="6B19C7AE" w:rsidR="003D09CD" w:rsidRPr="003D09CD" w:rsidRDefault="003D09CD" w:rsidP="003D09CD">
      <w:pPr>
        <w:pStyle w:val="Web"/>
        <w:spacing w:before="0" w:beforeAutospacing="0" w:after="0" w:afterAutospacing="0"/>
        <w:rPr>
          <w:rFonts w:ascii="Times New Roman" w:hAnsi="Times New Roman" w:cs="Times New Roman"/>
          <w:b/>
          <w:bCs/>
        </w:rPr>
      </w:pPr>
      <w:r w:rsidRPr="003D09CD">
        <w:rPr>
          <w:rFonts w:ascii="Times New Roman" w:hAnsi="Times New Roman" w:cs="Times New Roman" w:hint="eastAsia"/>
          <w:b/>
          <w:bCs/>
        </w:rPr>
        <w:lastRenderedPageBreak/>
        <w:t>I</w:t>
      </w:r>
      <w:r w:rsidRPr="003D09CD">
        <w:rPr>
          <w:rFonts w:ascii="Times New Roman" w:hAnsi="Times New Roman" w:cs="Times New Roman"/>
          <w:b/>
          <w:bCs/>
        </w:rPr>
        <w:t>ntroduction</w:t>
      </w:r>
    </w:p>
    <w:p w14:paraId="7CC9EFA1" w14:textId="0B2581CA" w:rsidR="003D09CD" w:rsidRPr="003D09CD" w:rsidRDefault="00705159" w:rsidP="003D09CD">
      <w:pPr>
        <w:pStyle w:val="Web"/>
        <w:spacing w:before="0" w:beforeAutospacing="0" w:after="0" w:afterAutospacing="0"/>
        <w:rPr>
          <w:rFonts w:ascii="Times New Roman" w:hAnsi="Times New Roman" w:cs="Times New Roman"/>
        </w:rPr>
      </w:pPr>
      <w:r>
        <w:rPr>
          <w:rFonts w:ascii="Times New Roman" w:hAnsi="Times New Roman" w:cs="Times New Roman" w:hint="eastAsia"/>
        </w:rPr>
        <w:t xml:space="preserve">    </w:t>
      </w:r>
      <w:r w:rsidR="003D09CD" w:rsidRPr="003D09CD">
        <w:rPr>
          <w:rFonts w:ascii="Times New Roman" w:hAnsi="Times New Roman" w:cs="Times New Roman"/>
        </w:rPr>
        <w:t>Performing arts education at the junior high school level not only serves the function of aesthetic education and artistic cultivation, but also plays a crucial role in developing students’ expressive abilities, creative thinking, and teamwork skills. With the implementation of Taiwan’s 12-Year Basic Education Curriculum Guidelines, which emphasize competency-based learning and diversified learning approaches, teaching design and instructional methods have gradually become key factors influencing students’ learning motivation and classroom engagement.</w:t>
      </w:r>
    </w:p>
    <w:p w14:paraId="69FAF197" w14:textId="55DD0B54" w:rsidR="003D09CD" w:rsidRPr="003D09CD" w:rsidRDefault="00705159" w:rsidP="003D09CD">
      <w:pPr>
        <w:pStyle w:val="Web"/>
        <w:spacing w:before="0" w:beforeAutospacing="0" w:after="0" w:afterAutospacing="0"/>
        <w:rPr>
          <w:rFonts w:ascii="Times New Roman" w:hAnsi="Times New Roman" w:cs="Times New Roman"/>
        </w:rPr>
      </w:pPr>
      <w:r>
        <w:rPr>
          <w:rFonts w:ascii="Times New Roman" w:hAnsi="Times New Roman" w:cs="Times New Roman" w:hint="eastAsia"/>
        </w:rPr>
        <w:t xml:space="preserve">    </w:t>
      </w:r>
      <w:r w:rsidR="003D09CD" w:rsidRPr="003D09CD">
        <w:rPr>
          <w:rFonts w:ascii="Times New Roman" w:hAnsi="Times New Roman" w:cs="Times New Roman"/>
        </w:rPr>
        <w:t>However, even under the same curriculum structure and instructional content, students often demonstrate noticeable differences in their acceptance and preferences for teaching methods. This suggests that learning outcomes may be influenced by individual differences. Among these factors, personality traits are considered one of the key variables affecting students’ learning behaviors and preferences. Students with different personality traits tend to exhibit distinct tendencies in learning interaction, information processing, and classroom participation patterns. Therefore, how to adapt instruction to accommodate individual differences has become an important issue in educational practice.</w:t>
      </w:r>
    </w:p>
    <w:p w14:paraId="5B1322AB" w14:textId="066CB789" w:rsidR="003D09CD" w:rsidRPr="003D09CD" w:rsidRDefault="00705159" w:rsidP="003D09CD">
      <w:pPr>
        <w:pStyle w:val="Web"/>
        <w:spacing w:before="0" w:beforeAutospacing="0" w:after="0" w:afterAutospacing="0"/>
        <w:rPr>
          <w:rFonts w:ascii="Times New Roman" w:hAnsi="Times New Roman" w:cs="Times New Roman"/>
        </w:rPr>
      </w:pPr>
      <w:r>
        <w:rPr>
          <w:rFonts w:ascii="Times New Roman" w:hAnsi="Times New Roman" w:cs="Times New Roman" w:hint="eastAsia"/>
        </w:rPr>
        <w:t xml:space="preserve">    </w:t>
      </w:r>
      <w:r w:rsidR="003D09CD" w:rsidRPr="003D09CD">
        <w:rPr>
          <w:rFonts w:ascii="Times New Roman" w:hAnsi="Times New Roman" w:cs="Times New Roman"/>
        </w:rPr>
        <w:t>Based on this background, the present study focuses on performing arts education as its context to explore differences in preferences for dynamic and static teaching methods among students with different personality traits. Furthermore, it aims to analyze the potential pedagogical implications of these differences and provide references for teachers in instructional design and teaching practice.</w:t>
      </w:r>
    </w:p>
    <w:p w14:paraId="6C898018" w14:textId="77777777" w:rsidR="00A412AD" w:rsidRPr="0038468E" w:rsidRDefault="003D09CD" w:rsidP="00A412AD">
      <w:pPr>
        <w:rPr>
          <w:rFonts w:ascii="Times New Roman" w:hAnsi="Times New Roman" w:cs="Times New Roman"/>
          <w:b/>
          <w:bCs/>
        </w:rPr>
      </w:pPr>
      <w:r w:rsidRPr="0038468E">
        <w:rPr>
          <w:rFonts w:ascii="Times New Roman" w:hAnsi="Times New Roman" w:cs="Times New Roman"/>
          <w:b/>
          <w:bCs/>
        </w:rPr>
        <w:t xml:space="preserve">Literature </w:t>
      </w:r>
      <w:r w:rsidR="00A412AD" w:rsidRPr="0038468E">
        <w:rPr>
          <w:rFonts w:ascii="Times New Roman" w:hAnsi="Times New Roman" w:cs="Times New Roman"/>
          <w:b/>
          <w:bCs/>
        </w:rPr>
        <w:t>Review</w:t>
      </w:r>
    </w:p>
    <w:p w14:paraId="2EF9494D" w14:textId="5E5E8E64" w:rsidR="00A412AD" w:rsidRPr="0038468E" w:rsidRDefault="00A412AD" w:rsidP="00A412AD">
      <w:pPr>
        <w:rPr>
          <w:rFonts w:ascii="Times New Roman" w:hAnsi="Times New Roman" w:cs="Times New Roman"/>
          <w:sz w:val="20"/>
          <w:szCs w:val="18"/>
        </w:rPr>
      </w:pPr>
      <w:r w:rsidRPr="0038468E">
        <w:rPr>
          <w:rFonts w:ascii="Times New Roman" w:hAnsi="Times New Roman" w:cs="Times New Roman"/>
          <w:szCs w:val="24"/>
        </w:rPr>
        <w:t>1. Personality Traits Based on Numerology (Types 1–9)</w:t>
      </w:r>
    </w:p>
    <w:p w14:paraId="2C7DE3A5" w14:textId="77777777" w:rsidR="00A412AD" w:rsidRPr="00A412AD" w:rsidRDefault="00A412AD" w:rsidP="00A412AD">
      <w:pPr>
        <w:pStyle w:val="Web"/>
        <w:spacing w:before="0" w:beforeAutospacing="0" w:after="0" w:afterAutospacing="0"/>
        <w:ind w:firstLineChars="200" w:firstLine="480"/>
        <w:rPr>
          <w:rFonts w:ascii="Times New Roman" w:hAnsi="Times New Roman" w:cs="Times New Roman"/>
        </w:rPr>
      </w:pPr>
      <w:r w:rsidRPr="00A412AD">
        <w:rPr>
          <w:rFonts w:ascii="Times New Roman" w:hAnsi="Times New Roman" w:cs="Times New Roman"/>
        </w:rPr>
        <w:t>Numerology is a system that classifies individuals based on their birth numbers, proposing that different numbers correspond to distinct psychological tendencies and behavioral patterns (</w:t>
      </w:r>
      <w:proofErr w:type="spellStart"/>
      <w:r w:rsidRPr="00A412AD">
        <w:rPr>
          <w:rFonts w:ascii="Times New Roman" w:hAnsi="Times New Roman" w:cs="Times New Roman"/>
        </w:rPr>
        <w:t>Drayer</w:t>
      </w:r>
      <w:proofErr w:type="spellEnd"/>
      <w:r w:rsidRPr="00A412AD">
        <w:rPr>
          <w:rFonts w:ascii="Times New Roman" w:hAnsi="Times New Roman" w:cs="Times New Roman"/>
        </w:rPr>
        <w:t>, 1996). Although its classification differs from mainstream psychological personality theories, it is often used in educational and self-exploration contexts as a supplementary tool for understanding individual differences (Faith, 2008).</w:t>
      </w:r>
    </w:p>
    <w:p w14:paraId="7492EE28" w14:textId="77777777" w:rsidR="00A412AD" w:rsidRPr="00A412AD" w:rsidRDefault="00A412AD" w:rsidP="00A412AD">
      <w:pPr>
        <w:pStyle w:val="Web"/>
        <w:spacing w:before="0" w:beforeAutospacing="0" w:after="0" w:afterAutospacing="0"/>
        <w:ind w:firstLineChars="200" w:firstLine="480"/>
        <w:rPr>
          <w:rFonts w:ascii="Times New Roman" w:hAnsi="Times New Roman" w:cs="Times New Roman"/>
        </w:rPr>
      </w:pPr>
      <w:r w:rsidRPr="00A412AD">
        <w:rPr>
          <w:rFonts w:ascii="Times New Roman" w:hAnsi="Times New Roman" w:cs="Times New Roman"/>
        </w:rPr>
        <w:t>According to numerology theory, individuals can be categorized into nine personality types, each with distinct traits and behavioral tendencies. Type 1 individuals are typically regarded as leaders, characterized by strong autonomy, goal orientation, decisiveness, and leadership ability. Type 2 individuals are more relationship-oriented, emphasizing interpersonal harmony and emotional support, and demonstrating strong cooperation and empathy (</w:t>
      </w:r>
      <w:proofErr w:type="spellStart"/>
      <w:r w:rsidRPr="00A412AD">
        <w:rPr>
          <w:rFonts w:ascii="Times New Roman" w:hAnsi="Times New Roman" w:cs="Times New Roman"/>
        </w:rPr>
        <w:t>Drayer</w:t>
      </w:r>
      <w:proofErr w:type="spellEnd"/>
      <w:r w:rsidRPr="00A412AD">
        <w:rPr>
          <w:rFonts w:ascii="Times New Roman" w:hAnsi="Times New Roman" w:cs="Times New Roman"/>
        </w:rPr>
        <w:t xml:space="preserve">, 1996). Type 3 individuals are expressive, outgoing, and creative, with strong communication skills, making them well-suited for interactive activities. Type 4 individuals tend to be practical and </w:t>
      </w:r>
      <w:r w:rsidRPr="00A412AD">
        <w:rPr>
          <w:rFonts w:ascii="Times New Roman" w:hAnsi="Times New Roman" w:cs="Times New Roman"/>
        </w:rPr>
        <w:lastRenderedPageBreak/>
        <w:t>structured, valuing discipline and organization, and preferring systematic learning environments (Faith, 2008). Type 5 individuals are exploratory, curious about new experiences, and inclined toward flexible and dynamic contexts. Type 6 individuals are caring and responsible, often displaying cooperative and supportive behaviors. Type 7 individuals are analytical and introspective, preferring independent thinking and deep reflection. Type 8 individuals exhibit strong action orientation and achievement motivation, favoring challenges and competitive activities. Type 9 individuals are idealistic, empathetic, and creative, with a strong emphasis on values and self-actualization (</w:t>
      </w:r>
      <w:proofErr w:type="spellStart"/>
      <w:r w:rsidRPr="00A412AD">
        <w:rPr>
          <w:rFonts w:ascii="Times New Roman" w:hAnsi="Times New Roman" w:cs="Times New Roman"/>
        </w:rPr>
        <w:t>Drayer</w:t>
      </w:r>
      <w:proofErr w:type="spellEnd"/>
      <w:r w:rsidRPr="00A412AD">
        <w:rPr>
          <w:rFonts w:ascii="Times New Roman" w:hAnsi="Times New Roman" w:cs="Times New Roman"/>
        </w:rPr>
        <w:t>, 1996).</w:t>
      </w:r>
    </w:p>
    <w:p w14:paraId="6AF746CF" w14:textId="77777777" w:rsidR="00A412AD" w:rsidRDefault="00A412AD" w:rsidP="00A412AD">
      <w:pPr>
        <w:pStyle w:val="Web"/>
        <w:spacing w:before="0" w:beforeAutospacing="0" w:after="0" w:afterAutospacing="0"/>
        <w:ind w:firstLineChars="200" w:firstLine="480"/>
        <w:rPr>
          <w:rFonts w:ascii="Times New Roman" w:hAnsi="Times New Roman" w:cs="Times New Roman"/>
        </w:rPr>
      </w:pPr>
      <w:r w:rsidRPr="00A412AD">
        <w:rPr>
          <w:rFonts w:ascii="Times New Roman" w:hAnsi="Times New Roman" w:cs="Times New Roman"/>
        </w:rPr>
        <w:t>Overall, different numerology-based personality types vary in terms of extraversion, action tendencies, and emotional expression. These distinctions can be related to mainstream personality theories. For instance, the Big Five Personality Traits suggest that differences in personality dimensions, such as extraversion and openness, influence learning behaviors and preferences (Costa &amp; McCrae, 1992). In addition, Experiential Learning Theory highlights variations in learning styles, such as concrete experience and reflective observation, further supporting the relationship between individual traits and learning approaches (Kolb, 1984).</w:t>
      </w:r>
    </w:p>
    <w:p w14:paraId="14F28ABC" w14:textId="0BA59950" w:rsidR="00A412AD" w:rsidRPr="0038468E" w:rsidRDefault="00A412AD" w:rsidP="00A412AD">
      <w:pPr>
        <w:pStyle w:val="Web"/>
        <w:spacing w:before="0" w:beforeAutospacing="0" w:after="0" w:afterAutospacing="0"/>
        <w:rPr>
          <w:rFonts w:ascii="Times New Roman" w:hAnsi="Times New Roman" w:cs="Times New Roman"/>
        </w:rPr>
      </w:pPr>
      <w:r w:rsidRPr="0038468E">
        <w:rPr>
          <w:rFonts w:ascii="Times New Roman" w:hAnsi="Times New Roman" w:cs="Times New Roman"/>
        </w:rPr>
        <w:t>2. Dynamic and Static Teaching Methods in Performing Arts Education</w:t>
      </w:r>
    </w:p>
    <w:p w14:paraId="37C1078B" w14:textId="77777777" w:rsidR="00A412AD" w:rsidRPr="00A412AD" w:rsidRDefault="00A412AD" w:rsidP="00A412AD">
      <w:pPr>
        <w:pStyle w:val="Web"/>
        <w:spacing w:before="0" w:beforeAutospacing="0" w:after="0" w:afterAutospacing="0"/>
        <w:ind w:firstLineChars="200" w:firstLine="480"/>
        <w:rPr>
          <w:rFonts w:ascii="Times New Roman" w:hAnsi="Times New Roman" w:cs="Times New Roman"/>
        </w:rPr>
      </w:pPr>
      <w:r w:rsidRPr="00A412AD">
        <w:rPr>
          <w:rFonts w:ascii="Times New Roman" w:hAnsi="Times New Roman" w:cs="Times New Roman"/>
        </w:rPr>
        <w:t>Performing arts education emphasizes physical expression, emotional engagement, and the development of creativity. Teaching methods can be broadly categorized into dynamic and static approaches based on the nature of student participation. These two forms of instruction serve distinct functions in the learning process and influence students’ engagement and learning outcomes.</w:t>
      </w:r>
    </w:p>
    <w:p w14:paraId="034B30A6" w14:textId="77777777" w:rsidR="00A412AD" w:rsidRPr="00A412AD" w:rsidRDefault="00A412AD" w:rsidP="00A412AD">
      <w:pPr>
        <w:pStyle w:val="Web"/>
        <w:spacing w:before="0" w:beforeAutospacing="0" w:after="0" w:afterAutospacing="0"/>
        <w:ind w:firstLineChars="200" w:firstLine="480"/>
        <w:rPr>
          <w:rFonts w:ascii="Times New Roman" w:hAnsi="Times New Roman" w:cs="Times New Roman"/>
        </w:rPr>
      </w:pPr>
      <w:r w:rsidRPr="00A412AD">
        <w:rPr>
          <w:rFonts w:ascii="Times New Roman" w:hAnsi="Times New Roman" w:cs="Times New Roman"/>
        </w:rPr>
        <w:t>Dynamic instruction refers to teaching approaches that emphasize physical involvement, interaction, and hands-on experience. Common examples include stage performances, role-playing, improvisation, and group-based activities. This approach embodies the principle of “learning by doing,” enabling students to construct knowledge and experience through active participation. According to Experiential Learning Theory proposed by David A. Kolb, learning begins with concrete experience and is deepened through cycles of reflection and application. Dynamic instruction aligns closely with this framework, allowing students to accumulate experience through performance and interaction, thereby facilitating knowledge transfer and creative development. Moreover, dynamic instruction enhances learning motivation and engagement, particularly in the context of arts education, where bodily involvement and situational participation foster emotional connection and expressive ability.</w:t>
      </w:r>
    </w:p>
    <w:p w14:paraId="06C1D3CE" w14:textId="77777777" w:rsidR="00A412AD" w:rsidRDefault="00A412AD" w:rsidP="00A412AD">
      <w:pPr>
        <w:pStyle w:val="Web"/>
        <w:spacing w:before="0" w:beforeAutospacing="0" w:after="0" w:afterAutospacing="0"/>
        <w:rPr>
          <w:rFonts w:ascii="Times New Roman" w:hAnsi="Times New Roman" w:cs="Times New Roman"/>
        </w:rPr>
      </w:pPr>
      <w:r w:rsidRPr="00A412AD">
        <w:rPr>
          <w:rFonts w:ascii="Times New Roman" w:hAnsi="Times New Roman" w:cs="Times New Roman"/>
        </w:rPr>
        <w:t xml:space="preserve">In summary, both dynamic and static instructional approaches play essential roles in performing arts education. Dynamic instruction supports experiential learning and </w:t>
      </w:r>
      <w:r w:rsidRPr="00A412AD">
        <w:rPr>
          <w:rFonts w:ascii="Times New Roman" w:hAnsi="Times New Roman" w:cs="Times New Roman"/>
        </w:rPr>
        <w:lastRenderedPageBreak/>
        <w:t>emotional engagement, while static instruction provides foundational knowledge and opportunities for observational learning. When effectively integrated according to students’ characteristics and instructional needs, these approaches can enhance learning motivation, participation, and performance.</w:t>
      </w:r>
    </w:p>
    <w:p w14:paraId="48D06E62" w14:textId="5B3E7957" w:rsidR="00A412AD" w:rsidRPr="0038468E" w:rsidRDefault="00A412AD" w:rsidP="00A412AD">
      <w:pPr>
        <w:pStyle w:val="Web"/>
        <w:spacing w:before="0" w:beforeAutospacing="0" w:after="0" w:afterAutospacing="0"/>
        <w:rPr>
          <w:rFonts w:ascii="Times New Roman" w:hAnsi="Times New Roman" w:cs="Times New Roman"/>
        </w:rPr>
      </w:pPr>
      <w:r w:rsidRPr="0038468E">
        <w:rPr>
          <w:rFonts w:ascii="Times New Roman" w:hAnsi="Times New Roman" w:cs="Times New Roman"/>
        </w:rPr>
        <w:t>3. The Relationship Between Personality Traits and Teaching Methods</w:t>
      </w:r>
    </w:p>
    <w:p w14:paraId="7F277DDD" w14:textId="77777777" w:rsidR="00A412AD" w:rsidRPr="00A412AD" w:rsidRDefault="00A412AD" w:rsidP="00A412AD">
      <w:pPr>
        <w:pStyle w:val="Web"/>
        <w:spacing w:before="0" w:beforeAutospacing="0" w:after="0" w:afterAutospacing="0"/>
        <w:ind w:firstLineChars="200" w:firstLine="480"/>
        <w:rPr>
          <w:rFonts w:ascii="Times New Roman" w:hAnsi="Times New Roman" w:cs="Times New Roman"/>
        </w:rPr>
      </w:pPr>
      <w:r w:rsidRPr="00A412AD">
        <w:rPr>
          <w:rFonts w:ascii="Times New Roman" w:hAnsi="Times New Roman" w:cs="Times New Roman"/>
        </w:rPr>
        <w:t>Personality traits are widely regarded as important factors influencing learning behaviors and preferences. Learners with different personality characteristics exhibit variations in information processing, levels of participation, and adaptation to instructional contexts (Costa &amp; McCrae, 1992). Therefore, examining the relationship between personality traits and teaching methods can help better understand students’ responses and learning outcomes in different instructional settings.</w:t>
      </w:r>
    </w:p>
    <w:p w14:paraId="137659F8" w14:textId="1DEB9763" w:rsidR="00A412AD" w:rsidRPr="00A412AD" w:rsidRDefault="00A412AD" w:rsidP="00900166">
      <w:pPr>
        <w:pStyle w:val="Web"/>
        <w:spacing w:before="0" w:beforeAutospacing="0" w:after="0" w:afterAutospacing="0"/>
        <w:ind w:firstLineChars="200" w:firstLine="480"/>
        <w:rPr>
          <w:rFonts w:ascii="Times New Roman" w:hAnsi="Times New Roman" w:cs="Times New Roman"/>
        </w:rPr>
      </w:pPr>
      <w:r w:rsidRPr="00A412AD">
        <w:rPr>
          <w:rFonts w:ascii="Times New Roman" w:hAnsi="Times New Roman" w:cs="Times New Roman"/>
        </w:rPr>
        <w:t>These differences suggest that personality traits influence students’ preferences for dynamic and static teaching methods.</w:t>
      </w:r>
      <w:r w:rsidR="00900166">
        <w:rPr>
          <w:rFonts w:ascii="Times New Roman" w:hAnsi="Times New Roman" w:cs="Times New Roman"/>
        </w:rPr>
        <w:t xml:space="preserve"> </w:t>
      </w:r>
      <w:proofErr w:type="gramStart"/>
      <w:r w:rsidRPr="00A412AD">
        <w:rPr>
          <w:rFonts w:ascii="Times New Roman" w:hAnsi="Times New Roman" w:cs="Times New Roman"/>
        </w:rPr>
        <w:t>Learning</w:t>
      </w:r>
      <w:proofErr w:type="gramEnd"/>
      <w:r w:rsidRPr="00A412AD">
        <w:rPr>
          <w:rFonts w:ascii="Times New Roman" w:hAnsi="Times New Roman" w:cs="Times New Roman"/>
        </w:rPr>
        <w:t xml:space="preserve"> style theories further indicate that individuals differ in how they receive and process information. Felder and Silverman (1988) proposed that learners vary along dimensions such as active–reflective and sensing–intuitive, which in turn affect their preferences for instructional approaches. Active learners are more suited to hands-on and interactive learning, whereas reflective learners prefer observation and thoughtful analysis. This distinction aligns with the differentiation between dynamic (participatory) and static (observational) teaching methods in performing arts education.</w:t>
      </w:r>
    </w:p>
    <w:p w14:paraId="0D758FB1" w14:textId="77777777" w:rsidR="00A412AD" w:rsidRDefault="00A412AD" w:rsidP="00A412AD">
      <w:pPr>
        <w:pStyle w:val="Web"/>
        <w:spacing w:before="0" w:beforeAutospacing="0" w:after="0" w:afterAutospacing="0"/>
        <w:ind w:firstLineChars="200" w:firstLine="480"/>
        <w:rPr>
          <w:rFonts w:ascii="Times New Roman" w:hAnsi="Times New Roman" w:cs="Times New Roman"/>
        </w:rPr>
      </w:pPr>
      <w:r w:rsidRPr="00A412AD">
        <w:rPr>
          <w:rFonts w:ascii="Times New Roman" w:hAnsi="Times New Roman" w:cs="Times New Roman"/>
        </w:rPr>
        <w:t>In conclusion, there is a strong relationship between personality traits and teaching methods. Dynamic instruction, which emphasizes interaction and hands-on experience, is more suitable for learners who are extroverted and action-oriented. In contrast, static instruction, which focuses on observation and understanding, is better suited for learners who are introverted and reflective. By considering personality differences and integrating diverse teaching approaches, educators can enhance students’ learning motivation and overall effectiveness.</w:t>
      </w:r>
    </w:p>
    <w:p w14:paraId="494E5256" w14:textId="48841063" w:rsidR="00A412AD" w:rsidRPr="00A412AD" w:rsidRDefault="00A412AD" w:rsidP="00A412AD">
      <w:pPr>
        <w:pStyle w:val="Web"/>
        <w:spacing w:before="0" w:beforeAutospacing="0" w:after="0" w:afterAutospacing="0"/>
        <w:rPr>
          <w:rFonts w:ascii="Times New Roman" w:hAnsi="Times New Roman" w:cs="Times New Roman"/>
        </w:rPr>
      </w:pPr>
      <w:r w:rsidRPr="00A412AD">
        <w:rPr>
          <w:rStyle w:val="a3"/>
          <w:rFonts w:ascii="Times New Roman" w:hAnsi="Times New Roman" w:cs="Times New Roman"/>
        </w:rPr>
        <w:t>Research Objectives</w:t>
      </w:r>
    </w:p>
    <w:p w14:paraId="5CB98475" w14:textId="77777777" w:rsidR="00A412AD" w:rsidRPr="00A412AD" w:rsidRDefault="00A412AD" w:rsidP="00A412AD">
      <w:pPr>
        <w:pStyle w:val="Web"/>
        <w:spacing w:before="0" w:beforeAutospacing="0" w:after="0" w:afterAutospacing="0"/>
        <w:ind w:firstLineChars="200" w:firstLine="480"/>
        <w:rPr>
          <w:rFonts w:ascii="Times New Roman" w:hAnsi="Times New Roman" w:cs="Times New Roman"/>
        </w:rPr>
      </w:pPr>
      <w:r w:rsidRPr="00A412AD">
        <w:rPr>
          <w:rFonts w:ascii="Times New Roman" w:hAnsi="Times New Roman" w:cs="Times New Roman"/>
        </w:rPr>
        <w:t>The purpose of this study is to examine the relationship between junior high school students’ personality traits and their preferences for teaching methods in performing arts education. It further aims to analyze how students with different personality traits demonstrate varying learning tendencies under dynamic and static instructional contexts. The specific objectives of this study are as follows:</w:t>
      </w:r>
    </w:p>
    <w:p w14:paraId="541B66D4" w14:textId="77777777" w:rsidR="00A412AD" w:rsidRPr="00A412AD" w:rsidRDefault="00A412AD" w:rsidP="00A412AD">
      <w:pPr>
        <w:widowControl/>
        <w:numPr>
          <w:ilvl w:val="0"/>
          <w:numId w:val="1"/>
        </w:numPr>
        <w:rPr>
          <w:rFonts w:ascii="Times New Roman" w:hAnsi="Times New Roman" w:cs="Times New Roman"/>
          <w:szCs w:val="24"/>
        </w:rPr>
      </w:pPr>
      <w:r w:rsidRPr="00A412AD">
        <w:rPr>
          <w:rFonts w:ascii="Times New Roman" w:hAnsi="Times New Roman" w:cs="Times New Roman"/>
          <w:szCs w:val="24"/>
        </w:rPr>
        <w:t xml:space="preserve">To explore the distribution of teaching method preferences among students with different personality traits. </w:t>
      </w:r>
    </w:p>
    <w:p w14:paraId="3A44A331" w14:textId="77777777" w:rsidR="00A412AD" w:rsidRPr="00A412AD" w:rsidRDefault="00A412AD" w:rsidP="00A412AD">
      <w:pPr>
        <w:widowControl/>
        <w:numPr>
          <w:ilvl w:val="0"/>
          <w:numId w:val="1"/>
        </w:numPr>
        <w:rPr>
          <w:rFonts w:ascii="Times New Roman" w:hAnsi="Times New Roman" w:cs="Times New Roman"/>
          <w:szCs w:val="24"/>
        </w:rPr>
      </w:pPr>
      <w:r w:rsidRPr="00A412AD">
        <w:rPr>
          <w:rFonts w:ascii="Times New Roman" w:hAnsi="Times New Roman" w:cs="Times New Roman"/>
          <w:szCs w:val="24"/>
        </w:rPr>
        <w:t xml:space="preserve">To analyze the influence of personality traits on students’ preferences for dynamic instruction (e.g., stage performance, interactive activities) and static instruction (e.g., video-assisted learning, lecture-based teaching). </w:t>
      </w:r>
    </w:p>
    <w:p w14:paraId="76354FE9" w14:textId="77777777" w:rsidR="00A412AD" w:rsidRPr="00A412AD" w:rsidRDefault="00A412AD" w:rsidP="00A412AD">
      <w:pPr>
        <w:widowControl/>
        <w:numPr>
          <w:ilvl w:val="0"/>
          <w:numId w:val="1"/>
        </w:numPr>
        <w:rPr>
          <w:rFonts w:ascii="Times New Roman" w:hAnsi="Times New Roman" w:cs="Times New Roman"/>
          <w:szCs w:val="24"/>
        </w:rPr>
      </w:pPr>
      <w:r w:rsidRPr="00A412AD">
        <w:rPr>
          <w:rFonts w:ascii="Times New Roman" w:hAnsi="Times New Roman" w:cs="Times New Roman"/>
          <w:szCs w:val="24"/>
        </w:rPr>
        <w:lastRenderedPageBreak/>
        <w:t xml:space="preserve">To compare the differences in preferences for various teaching methods across different personality types. </w:t>
      </w:r>
    </w:p>
    <w:p w14:paraId="28C1B2BA" w14:textId="77777777" w:rsidR="00A412AD" w:rsidRDefault="00A412AD" w:rsidP="00A412AD">
      <w:pPr>
        <w:widowControl/>
        <w:numPr>
          <w:ilvl w:val="0"/>
          <w:numId w:val="1"/>
        </w:numPr>
        <w:rPr>
          <w:rFonts w:ascii="Times New Roman" w:hAnsi="Times New Roman" w:cs="Times New Roman"/>
          <w:szCs w:val="24"/>
        </w:rPr>
      </w:pPr>
      <w:r w:rsidRPr="00A412AD">
        <w:rPr>
          <w:rFonts w:ascii="Times New Roman" w:hAnsi="Times New Roman" w:cs="Times New Roman"/>
          <w:szCs w:val="24"/>
        </w:rPr>
        <w:t>To propose practical instructional recommendations based on the research findings, providing reference for curriculum design and teaching practice in performing arts education.</w:t>
      </w:r>
    </w:p>
    <w:p w14:paraId="15879006" w14:textId="0B3FC6FE" w:rsidR="00A412AD" w:rsidRPr="00A412AD" w:rsidRDefault="00A412AD" w:rsidP="00A412AD">
      <w:pPr>
        <w:widowControl/>
        <w:rPr>
          <w:rFonts w:ascii="Times New Roman" w:hAnsi="Times New Roman" w:cs="Times New Roman"/>
          <w:szCs w:val="24"/>
        </w:rPr>
      </w:pPr>
      <w:r w:rsidRPr="00A412AD">
        <w:rPr>
          <w:rStyle w:val="a3"/>
          <w:rFonts w:ascii="Times New Roman" w:hAnsi="Times New Roman" w:cs="Times New Roman"/>
          <w:szCs w:val="24"/>
        </w:rPr>
        <w:t>Research Hypotheses</w:t>
      </w:r>
    </w:p>
    <w:p w14:paraId="0CACEB02" w14:textId="77777777" w:rsidR="00A412AD" w:rsidRPr="00A412AD" w:rsidRDefault="00A412AD" w:rsidP="00A412AD">
      <w:pPr>
        <w:pStyle w:val="Web"/>
        <w:spacing w:before="0" w:beforeAutospacing="0" w:after="0" w:afterAutospacing="0"/>
        <w:ind w:firstLineChars="200" w:firstLine="480"/>
        <w:rPr>
          <w:rFonts w:ascii="Times New Roman" w:hAnsi="Times New Roman" w:cs="Times New Roman"/>
        </w:rPr>
      </w:pPr>
      <w:r w:rsidRPr="00A412AD">
        <w:rPr>
          <w:rFonts w:ascii="Times New Roman" w:hAnsi="Times New Roman" w:cs="Times New Roman"/>
        </w:rPr>
        <w:t>Based on the research objectives and relevant literature, the following hypotheses are proposed:</w:t>
      </w:r>
    </w:p>
    <w:p w14:paraId="60C06160" w14:textId="77777777" w:rsidR="00A412AD" w:rsidRPr="00A412AD" w:rsidRDefault="00A412AD" w:rsidP="00A412AD">
      <w:pPr>
        <w:pStyle w:val="Web"/>
        <w:spacing w:before="0" w:beforeAutospacing="0" w:after="0" w:afterAutospacing="0"/>
        <w:rPr>
          <w:rFonts w:ascii="Times New Roman" w:hAnsi="Times New Roman" w:cs="Times New Roman"/>
        </w:rPr>
      </w:pPr>
      <w:r w:rsidRPr="00A412AD">
        <w:rPr>
          <w:rStyle w:val="a3"/>
          <w:rFonts w:ascii="Times New Roman" w:hAnsi="Times New Roman" w:cs="Times New Roman"/>
        </w:rPr>
        <w:t>H1.</w:t>
      </w:r>
      <w:r w:rsidRPr="00A412AD">
        <w:rPr>
          <w:rFonts w:ascii="Times New Roman" w:hAnsi="Times New Roman" w:cs="Times New Roman"/>
        </w:rPr>
        <w:t xml:space="preserve"> There are significant differences in teaching method preferences among students with different numerology-based personality types.</w:t>
      </w:r>
    </w:p>
    <w:p w14:paraId="4F647BD0" w14:textId="77777777" w:rsidR="00A412AD" w:rsidRPr="00A412AD" w:rsidRDefault="00A412AD" w:rsidP="00A412AD">
      <w:pPr>
        <w:pStyle w:val="Web"/>
        <w:spacing w:before="0" w:beforeAutospacing="0" w:after="0" w:afterAutospacing="0"/>
        <w:rPr>
          <w:rFonts w:ascii="Times New Roman" w:hAnsi="Times New Roman" w:cs="Times New Roman"/>
        </w:rPr>
      </w:pPr>
      <w:r w:rsidRPr="00A412AD">
        <w:rPr>
          <w:rStyle w:val="a3"/>
          <w:rFonts w:ascii="Times New Roman" w:hAnsi="Times New Roman" w:cs="Times New Roman"/>
        </w:rPr>
        <w:t>H2.</w:t>
      </w:r>
      <w:r w:rsidRPr="00A412AD">
        <w:rPr>
          <w:rFonts w:ascii="Times New Roman" w:hAnsi="Times New Roman" w:cs="Times New Roman"/>
        </w:rPr>
        <w:t xml:space="preserve"> There are significant differences in preferences for dynamic instructional methods among students with different numerology-based personality types.</w:t>
      </w:r>
    </w:p>
    <w:p w14:paraId="162AD91A" w14:textId="77777777" w:rsidR="00A412AD" w:rsidRDefault="00A412AD" w:rsidP="00A412AD">
      <w:pPr>
        <w:pStyle w:val="Web"/>
        <w:spacing w:before="0" w:beforeAutospacing="0" w:after="0" w:afterAutospacing="0"/>
        <w:rPr>
          <w:rFonts w:ascii="Times New Roman" w:hAnsi="Times New Roman" w:cs="Times New Roman"/>
        </w:rPr>
      </w:pPr>
      <w:r w:rsidRPr="00A412AD">
        <w:rPr>
          <w:rStyle w:val="a3"/>
          <w:rFonts w:ascii="Times New Roman" w:hAnsi="Times New Roman" w:cs="Times New Roman"/>
        </w:rPr>
        <w:t>H3.</w:t>
      </w:r>
      <w:r w:rsidRPr="00A412AD">
        <w:rPr>
          <w:rFonts w:ascii="Times New Roman" w:hAnsi="Times New Roman" w:cs="Times New Roman"/>
        </w:rPr>
        <w:t xml:space="preserve"> There are significant differences in preferences for static instructional methods among students with different numerology-based personality types</w:t>
      </w:r>
    </w:p>
    <w:p w14:paraId="428D8493" w14:textId="77777777" w:rsidR="00A412AD" w:rsidRPr="00A412AD" w:rsidRDefault="00A412AD" w:rsidP="00A412AD">
      <w:pPr>
        <w:pStyle w:val="Web"/>
        <w:spacing w:before="0" w:beforeAutospacing="0" w:after="0" w:afterAutospacing="0"/>
        <w:rPr>
          <w:rStyle w:val="a3"/>
          <w:rFonts w:ascii="Times New Roman" w:hAnsi="Times New Roman" w:cs="Times New Roman"/>
        </w:rPr>
      </w:pPr>
      <w:r w:rsidRPr="00A412AD">
        <w:rPr>
          <w:rStyle w:val="a3"/>
          <w:rFonts w:ascii="Times New Roman" w:hAnsi="Times New Roman" w:cs="Times New Roman"/>
        </w:rPr>
        <w:t>Methodology</w:t>
      </w:r>
    </w:p>
    <w:p w14:paraId="520184F5" w14:textId="56A99387" w:rsidR="00A412AD" w:rsidRPr="00A412AD" w:rsidRDefault="00A412AD" w:rsidP="00A412AD">
      <w:pPr>
        <w:pStyle w:val="Web"/>
        <w:spacing w:before="0" w:beforeAutospacing="0" w:after="0" w:afterAutospacing="0"/>
        <w:rPr>
          <w:rFonts w:ascii="Times New Roman" w:hAnsi="Times New Roman" w:cs="Times New Roman"/>
        </w:rPr>
      </w:pPr>
      <w:r w:rsidRPr="00A412AD">
        <w:rPr>
          <w:rFonts w:ascii="Times New Roman" w:hAnsi="Times New Roman" w:cs="Times New Roman"/>
        </w:rPr>
        <w:t>1. Participants and Research Setting</w:t>
      </w:r>
    </w:p>
    <w:p w14:paraId="1F568273" w14:textId="77777777" w:rsidR="00A412AD" w:rsidRPr="00A412AD" w:rsidRDefault="00A412AD" w:rsidP="00A412AD">
      <w:pPr>
        <w:pStyle w:val="Web"/>
        <w:spacing w:before="0" w:beforeAutospacing="0" w:after="0" w:afterAutospacing="0"/>
        <w:ind w:firstLineChars="200" w:firstLine="480"/>
        <w:rPr>
          <w:rFonts w:ascii="Times New Roman" w:hAnsi="Times New Roman" w:cs="Times New Roman"/>
        </w:rPr>
      </w:pPr>
      <w:r w:rsidRPr="00A412AD">
        <w:rPr>
          <w:rFonts w:ascii="Times New Roman" w:hAnsi="Times New Roman" w:cs="Times New Roman"/>
        </w:rPr>
        <w:t xml:space="preserve">The participants of this study were ninth-grade students from the junior high division of </w:t>
      </w:r>
      <w:proofErr w:type="spellStart"/>
      <w:r w:rsidRPr="00A412AD">
        <w:rPr>
          <w:rFonts w:ascii="Times New Roman" w:hAnsi="Times New Roman" w:cs="Times New Roman"/>
        </w:rPr>
        <w:t>Dongshan</w:t>
      </w:r>
      <w:proofErr w:type="spellEnd"/>
      <w:r w:rsidRPr="00A412AD">
        <w:rPr>
          <w:rFonts w:ascii="Times New Roman" w:hAnsi="Times New Roman" w:cs="Times New Roman"/>
        </w:rPr>
        <w:t xml:space="preserve"> Senior High School in Taichung, Taiwan. A total of six classes were included, with 192 students in total. The researcher distributed 192 questionnaires during class sessions and obtained 132 valid responses, resulting in a valid response rate of 68.8%.</w:t>
      </w:r>
    </w:p>
    <w:p w14:paraId="354921F7" w14:textId="77777777" w:rsidR="00A412AD" w:rsidRDefault="00A412AD" w:rsidP="00A412AD">
      <w:pPr>
        <w:pStyle w:val="Web"/>
        <w:spacing w:before="0" w:beforeAutospacing="0" w:after="0" w:afterAutospacing="0"/>
        <w:ind w:firstLineChars="200" w:firstLine="480"/>
        <w:rPr>
          <w:rFonts w:ascii="Times New Roman" w:hAnsi="Times New Roman" w:cs="Times New Roman"/>
        </w:rPr>
      </w:pPr>
      <w:r w:rsidRPr="00A412AD">
        <w:rPr>
          <w:rFonts w:ascii="Times New Roman" w:hAnsi="Times New Roman" w:cs="Times New Roman"/>
        </w:rPr>
        <w:t>Although the sample does not represent the entire student population, it reflects the distribution of students’ preferences for performing arts courses and their expectations of teaching methods within the school context. The study was conducted in regular classroom settings, and all questionnaires were administered personally by the researcher to ensure consistency and completeness in data collection.</w:t>
      </w:r>
    </w:p>
    <w:p w14:paraId="3E885F57" w14:textId="0D273C83" w:rsidR="00A412AD" w:rsidRPr="00A412AD" w:rsidRDefault="00A412AD" w:rsidP="00A412AD">
      <w:pPr>
        <w:pStyle w:val="Web"/>
        <w:spacing w:before="0" w:beforeAutospacing="0" w:after="0" w:afterAutospacing="0"/>
        <w:rPr>
          <w:rFonts w:ascii="Times New Roman" w:hAnsi="Times New Roman" w:cs="Times New Roman"/>
        </w:rPr>
      </w:pPr>
      <w:r w:rsidRPr="00A412AD">
        <w:rPr>
          <w:rFonts w:ascii="Times New Roman" w:hAnsi="Times New Roman" w:cs="Times New Roman"/>
        </w:rPr>
        <w:t>2. Data Collection and Analysis</w:t>
      </w:r>
    </w:p>
    <w:p w14:paraId="10BE4FBF" w14:textId="77777777" w:rsidR="00A412AD" w:rsidRPr="00A412AD" w:rsidRDefault="00A412AD" w:rsidP="00A412AD">
      <w:pPr>
        <w:pStyle w:val="Web"/>
        <w:spacing w:before="0" w:beforeAutospacing="0" w:after="0" w:afterAutospacing="0"/>
        <w:ind w:firstLineChars="200" w:firstLine="480"/>
        <w:rPr>
          <w:rFonts w:ascii="Times New Roman" w:hAnsi="Times New Roman" w:cs="Times New Roman"/>
        </w:rPr>
      </w:pPr>
      <w:r w:rsidRPr="00A412AD">
        <w:rPr>
          <w:rFonts w:ascii="Times New Roman" w:hAnsi="Times New Roman" w:cs="Times New Roman"/>
        </w:rPr>
        <w:t>The research instrument was a self-developed anonymous questionnaire designed based on the research objectives and relevant literature. The questionnaire consisted of three main sections:</w:t>
      </w:r>
    </w:p>
    <w:p w14:paraId="7005FC45" w14:textId="77777777" w:rsidR="00A412AD" w:rsidRPr="00A412AD" w:rsidRDefault="00A412AD" w:rsidP="00A412AD">
      <w:pPr>
        <w:widowControl/>
        <w:numPr>
          <w:ilvl w:val="0"/>
          <w:numId w:val="2"/>
        </w:numPr>
        <w:rPr>
          <w:rFonts w:ascii="Times New Roman" w:hAnsi="Times New Roman" w:cs="Times New Roman"/>
          <w:szCs w:val="24"/>
        </w:rPr>
      </w:pPr>
      <w:r w:rsidRPr="00A412AD">
        <w:rPr>
          <w:rStyle w:val="a3"/>
          <w:rFonts w:ascii="Times New Roman" w:hAnsi="Times New Roman" w:cs="Times New Roman"/>
          <w:b w:val="0"/>
          <w:bCs w:val="0"/>
          <w:szCs w:val="24"/>
        </w:rPr>
        <w:t>Demographic Information</w:t>
      </w:r>
      <w:r w:rsidRPr="00A412AD">
        <w:rPr>
          <w:rFonts w:ascii="Times New Roman" w:hAnsi="Times New Roman" w:cs="Times New Roman"/>
          <w:szCs w:val="24"/>
        </w:rPr>
        <w:t xml:space="preserve">: gender, grade level, and date of birth (used as the basis for personality classification). </w:t>
      </w:r>
    </w:p>
    <w:p w14:paraId="30ABD183" w14:textId="77777777" w:rsidR="00A412AD" w:rsidRPr="00A412AD" w:rsidRDefault="00A412AD" w:rsidP="00A412AD">
      <w:pPr>
        <w:widowControl/>
        <w:numPr>
          <w:ilvl w:val="0"/>
          <w:numId w:val="2"/>
        </w:numPr>
        <w:rPr>
          <w:rFonts w:ascii="Times New Roman" w:hAnsi="Times New Roman" w:cs="Times New Roman"/>
          <w:szCs w:val="24"/>
        </w:rPr>
      </w:pPr>
      <w:r w:rsidRPr="00A412AD">
        <w:rPr>
          <w:rStyle w:val="a3"/>
          <w:rFonts w:ascii="Times New Roman" w:hAnsi="Times New Roman" w:cs="Times New Roman"/>
          <w:b w:val="0"/>
          <w:bCs w:val="0"/>
          <w:szCs w:val="24"/>
        </w:rPr>
        <w:t>Teaching Method Preference Scale</w:t>
      </w:r>
      <w:r w:rsidRPr="00A412AD">
        <w:rPr>
          <w:rFonts w:ascii="Times New Roman" w:hAnsi="Times New Roman" w:cs="Times New Roman"/>
          <w:szCs w:val="24"/>
        </w:rPr>
        <w:t xml:space="preserve"> (covering four instructional approaches): </w:t>
      </w:r>
    </w:p>
    <w:p w14:paraId="4A915E8A" w14:textId="3706EB5E" w:rsidR="00A412AD" w:rsidRPr="00A412AD" w:rsidRDefault="00A412AD" w:rsidP="00A412AD">
      <w:pPr>
        <w:widowControl/>
        <w:ind w:firstLineChars="300" w:firstLine="720"/>
        <w:rPr>
          <w:rFonts w:ascii="Times New Roman" w:hAnsi="Times New Roman" w:cs="Times New Roman"/>
          <w:b/>
          <w:bCs/>
          <w:szCs w:val="24"/>
        </w:rPr>
      </w:pPr>
      <w:r w:rsidRPr="00A412AD">
        <w:rPr>
          <w:rStyle w:val="a3"/>
          <w:rFonts w:ascii="Times New Roman" w:hAnsi="Times New Roman" w:cs="Times New Roman"/>
          <w:b w:val="0"/>
          <w:bCs w:val="0"/>
          <w:szCs w:val="24"/>
        </w:rPr>
        <w:t>(</w:t>
      </w:r>
      <w:proofErr w:type="gramStart"/>
      <w:r w:rsidRPr="00A412AD">
        <w:rPr>
          <w:rStyle w:val="a3"/>
          <w:rFonts w:ascii="Times New Roman" w:hAnsi="Times New Roman" w:cs="Times New Roman"/>
          <w:b w:val="0"/>
          <w:bCs w:val="0"/>
          <w:szCs w:val="24"/>
        </w:rPr>
        <w:t>1)Dynamic</w:t>
      </w:r>
      <w:proofErr w:type="gramEnd"/>
      <w:r w:rsidRPr="00A412AD">
        <w:rPr>
          <w:rStyle w:val="a3"/>
          <w:rFonts w:ascii="Times New Roman" w:hAnsi="Times New Roman" w:cs="Times New Roman"/>
          <w:b w:val="0"/>
          <w:bCs w:val="0"/>
          <w:szCs w:val="24"/>
        </w:rPr>
        <w:t xml:space="preserve"> instruction</w:t>
      </w:r>
      <w:r w:rsidRPr="00A412AD">
        <w:rPr>
          <w:rFonts w:ascii="Times New Roman" w:hAnsi="Times New Roman" w:cs="Times New Roman"/>
          <w:b/>
          <w:bCs/>
          <w:szCs w:val="24"/>
        </w:rPr>
        <w:t xml:space="preserve">: </w:t>
      </w:r>
      <w:r w:rsidRPr="00A412AD">
        <w:rPr>
          <w:rFonts w:ascii="Times New Roman" w:hAnsi="Times New Roman" w:cs="Times New Roman"/>
          <w:szCs w:val="24"/>
        </w:rPr>
        <w:t>stage performance and interactive activities</w:t>
      </w:r>
      <w:r w:rsidRPr="00A412AD">
        <w:rPr>
          <w:rFonts w:ascii="Times New Roman" w:hAnsi="Times New Roman" w:cs="Times New Roman"/>
          <w:b/>
          <w:bCs/>
          <w:szCs w:val="24"/>
        </w:rPr>
        <w:t xml:space="preserve"> </w:t>
      </w:r>
    </w:p>
    <w:p w14:paraId="45E4A6B4" w14:textId="5732ADB0" w:rsidR="00A412AD" w:rsidRPr="00A412AD" w:rsidRDefault="00A412AD" w:rsidP="00A412AD">
      <w:pPr>
        <w:widowControl/>
        <w:ind w:firstLineChars="300" w:firstLine="720"/>
        <w:rPr>
          <w:rFonts w:ascii="Times New Roman" w:hAnsi="Times New Roman" w:cs="Times New Roman"/>
          <w:szCs w:val="24"/>
        </w:rPr>
      </w:pPr>
      <w:r w:rsidRPr="00A412AD">
        <w:rPr>
          <w:rStyle w:val="a3"/>
          <w:rFonts w:ascii="Times New Roman" w:hAnsi="Times New Roman" w:cs="Times New Roman"/>
          <w:b w:val="0"/>
          <w:bCs w:val="0"/>
          <w:szCs w:val="24"/>
        </w:rPr>
        <w:t>(</w:t>
      </w:r>
      <w:proofErr w:type="gramStart"/>
      <w:r w:rsidRPr="00A412AD">
        <w:rPr>
          <w:rStyle w:val="a3"/>
          <w:rFonts w:ascii="Times New Roman" w:hAnsi="Times New Roman" w:cs="Times New Roman"/>
          <w:b w:val="0"/>
          <w:bCs w:val="0"/>
          <w:szCs w:val="24"/>
        </w:rPr>
        <w:t>2)Static</w:t>
      </w:r>
      <w:proofErr w:type="gramEnd"/>
      <w:r w:rsidRPr="00A412AD">
        <w:rPr>
          <w:rStyle w:val="a3"/>
          <w:rFonts w:ascii="Times New Roman" w:hAnsi="Times New Roman" w:cs="Times New Roman"/>
          <w:b w:val="0"/>
          <w:bCs w:val="0"/>
          <w:szCs w:val="24"/>
        </w:rPr>
        <w:t xml:space="preserve"> instruction</w:t>
      </w:r>
      <w:r w:rsidRPr="00A412AD">
        <w:rPr>
          <w:rFonts w:ascii="Times New Roman" w:hAnsi="Times New Roman" w:cs="Times New Roman"/>
          <w:b/>
          <w:bCs/>
          <w:szCs w:val="24"/>
        </w:rPr>
        <w:t>:</w:t>
      </w:r>
      <w:r w:rsidRPr="00A412AD">
        <w:rPr>
          <w:rFonts w:ascii="Times New Roman" w:hAnsi="Times New Roman" w:cs="Times New Roman"/>
          <w:szCs w:val="24"/>
        </w:rPr>
        <w:t xml:space="preserve"> video-assisted learning and lecture-based teaching </w:t>
      </w:r>
    </w:p>
    <w:p w14:paraId="6FDC27AC" w14:textId="77777777" w:rsidR="00A412AD" w:rsidRPr="00A412AD" w:rsidRDefault="00A412AD" w:rsidP="00A412AD">
      <w:pPr>
        <w:pStyle w:val="Web"/>
        <w:spacing w:before="0" w:beforeAutospacing="0" w:after="0" w:afterAutospacing="0"/>
        <w:rPr>
          <w:rFonts w:ascii="Times New Roman" w:hAnsi="Times New Roman" w:cs="Times New Roman"/>
        </w:rPr>
      </w:pPr>
      <w:r w:rsidRPr="00A412AD">
        <w:rPr>
          <w:rFonts w:ascii="Times New Roman" w:hAnsi="Times New Roman" w:cs="Times New Roman"/>
        </w:rPr>
        <w:t>Responses were measured using a five-point Likert scale (1 = strongly dislike, 5 = strongly like), with higher scores indicating stronger preference.</w:t>
      </w:r>
    </w:p>
    <w:p w14:paraId="75538572" w14:textId="77777777" w:rsidR="00A412AD" w:rsidRDefault="00A412AD" w:rsidP="00A412AD">
      <w:pPr>
        <w:pStyle w:val="Web"/>
        <w:spacing w:before="0" w:beforeAutospacing="0" w:after="0" w:afterAutospacing="0"/>
        <w:rPr>
          <w:rFonts w:ascii="Times New Roman" w:hAnsi="Times New Roman" w:cs="Times New Roman"/>
        </w:rPr>
      </w:pPr>
      <w:r w:rsidRPr="00A412AD">
        <w:rPr>
          <w:rFonts w:ascii="Times New Roman" w:hAnsi="Times New Roman" w:cs="Times New Roman"/>
        </w:rPr>
        <w:lastRenderedPageBreak/>
        <w:t>In this study, numerology was used as the basis for classifying personality traits, and participants were categorized into different personality types accordingly to examine differences in teaching method preferences. However, since numerology is not a standardized psychological measurement tool, it was treated as an exploratory classification approach in this study. Its purpose was to provide a preliminary understanding of differences in students’ behavioral tendencies, and the findings should be interpreted within the context of educational application.</w:t>
      </w:r>
    </w:p>
    <w:p w14:paraId="005CAA34" w14:textId="48A82300" w:rsidR="00A412AD" w:rsidRPr="00A412AD" w:rsidRDefault="00A412AD" w:rsidP="00A412AD">
      <w:pPr>
        <w:pStyle w:val="Web"/>
        <w:spacing w:before="0" w:beforeAutospacing="0" w:after="0" w:afterAutospacing="0"/>
        <w:rPr>
          <w:rFonts w:ascii="Times New Roman" w:hAnsi="Times New Roman" w:cs="Times New Roman"/>
        </w:rPr>
      </w:pPr>
      <w:r w:rsidRPr="00A412AD">
        <w:rPr>
          <w:rStyle w:val="a3"/>
          <w:rFonts w:ascii="Times New Roman" w:hAnsi="Times New Roman" w:cs="Times New Roman"/>
        </w:rPr>
        <w:t>Research Limitations</w:t>
      </w:r>
    </w:p>
    <w:p w14:paraId="5082ADB6" w14:textId="77777777" w:rsidR="005C6860" w:rsidRDefault="005C6860" w:rsidP="00BE3E26">
      <w:pPr>
        <w:pStyle w:val="Web"/>
        <w:spacing w:before="0" w:beforeAutospacing="0" w:after="0" w:afterAutospacing="0"/>
        <w:ind w:firstLineChars="200" w:firstLine="480"/>
        <w:rPr>
          <w:rFonts w:ascii="Times New Roman" w:hAnsi="Times New Roman" w:cs="Times New Roman"/>
        </w:rPr>
      </w:pPr>
      <w:r w:rsidRPr="005C6860">
        <w:rPr>
          <w:rFonts w:ascii="Times New Roman" w:hAnsi="Times New Roman" w:cs="Times New Roman"/>
        </w:rPr>
        <w:t xml:space="preserve">This study was conducted using a sample from a single school, which may limit the generalizability of the findings. In addition, the use of self-reported questionnaire data may be influenced by subjective perceptions and situational factors. Furthermore, numerology was employed as a tool for personality classification; however, its validity and reliability remain controversial compared to established psychological measures, and therefore the findings should be interpreted with caution. </w:t>
      </w:r>
    </w:p>
    <w:p w14:paraId="1C8AFB4C" w14:textId="35928199" w:rsidR="00BE3E26" w:rsidRDefault="005C6860" w:rsidP="00BE3E26">
      <w:pPr>
        <w:pStyle w:val="Web"/>
        <w:spacing w:before="0" w:beforeAutospacing="0" w:after="0" w:afterAutospacing="0"/>
        <w:ind w:firstLineChars="200" w:firstLine="480"/>
        <w:rPr>
          <w:rFonts w:ascii="Times New Roman" w:hAnsi="Times New Roman" w:cs="Times New Roman"/>
        </w:rPr>
      </w:pPr>
      <w:r w:rsidRPr="005C6860">
        <w:rPr>
          <w:rFonts w:ascii="Times New Roman" w:hAnsi="Times New Roman" w:cs="Times New Roman"/>
        </w:rPr>
        <w:t xml:space="preserve">Finally, as this study adopted a cross-sectional design, it can only identify associations among variables and cannot establish causal </w:t>
      </w:r>
      <w:proofErr w:type="spellStart"/>
      <w:proofErr w:type="gramStart"/>
      <w:r w:rsidRPr="005C6860">
        <w:rPr>
          <w:rFonts w:ascii="Times New Roman" w:hAnsi="Times New Roman" w:cs="Times New Roman"/>
        </w:rPr>
        <w:t>relationships.</w:t>
      </w:r>
      <w:r w:rsidR="00A412AD" w:rsidRPr="00A412AD">
        <w:rPr>
          <w:rFonts w:ascii="Times New Roman" w:hAnsi="Times New Roman" w:cs="Times New Roman"/>
        </w:rPr>
        <w:t>Despite</w:t>
      </w:r>
      <w:proofErr w:type="spellEnd"/>
      <w:proofErr w:type="gramEnd"/>
      <w:r w:rsidR="00A412AD" w:rsidRPr="00A412AD">
        <w:rPr>
          <w:rFonts w:ascii="Times New Roman" w:hAnsi="Times New Roman" w:cs="Times New Roman"/>
        </w:rPr>
        <w:t xml:space="preserve"> these limitations, this study provides empirical insights into the relationship between personality traits and teaching method preferences in performing arts education.</w:t>
      </w:r>
    </w:p>
    <w:p w14:paraId="3FB2285B" w14:textId="32D12526" w:rsidR="00A412AD" w:rsidRPr="00A412AD" w:rsidRDefault="00A412AD" w:rsidP="00BE3E26">
      <w:pPr>
        <w:pStyle w:val="Web"/>
        <w:spacing w:before="0" w:beforeAutospacing="0" w:after="0" w:afterAutospacing="0"/>
        <w:rPr>
          <w:rFonts w:ascii="Times New Roman" w:hAnsi="Times New Roman" w:cs="Times New Roman"/>
        </w:rPr>
      </w:pPr>
      <w:r w:rsidRPr="00A412AD">
        <w:rPr>
          <w:rFonts w:ascii="Times New Roman" w:hAnsi="Times New Roman" w:cs="Times New Roman"/>
          <w:b/>
          <w:bCs/>
          <w:kern w:val="36"/>
        </w:rPr>
        <w:t>Research Procedure</w:t>
      </w:r>
    </w:p>
    <w:p w14:paraId="30C2F610" w14:textId="77777777" w:rsidR="00A412AD" w:rsidRPr="00A412AD" w:rsidRDefault="00A412AD" w:rsidP="00BE3E26">
      <w:pPr>
        <w:widowControl/>
        <w:ind w:firstLineChars="200" w:firstLine="480"/>
        <w:rPr>
          <w:rFonts w:ascii="Times New Roman" w:eastAsia="新細明體" w:hAnsi="Times New Roman" w:cs="Times New Roman"/>
          <w:kern w:val="0"/>
          <w:szCs w:val="24"/>
        </w:rPr>
      </w:pPr>
      <w:r w:rsidRPr="00A412AD">
        <w:rPr>
          <w:rFonts w:ascii="Times New Roman" w:eastAsia="新細明體" w:hAnsi="Times New Roman" w:cs="Times New Roman"/>
          <w:kern w:val="0"/>
          <w:szCs w:val="24"/>
        </w:rPr>
        <w:t>The research procedure was conducted in the following sequence:</w:t>
      </w:r>
    </w:p>
    <w:p w14:paraId="426696D5" w14:textId="77777777" w:rsidR="00A412AD" w:rsidRPr="00A412AD" w:rsidRDefault="00A412AD" w:rsidP="00A412AD">
      <w:pPr>
        <w:widowControl/>
        <w:numPr>
          <w:ilvl w:val="0"/>
          <w:numId w:val="3"/>
        </w:numPr>
        <w:rPr>
          <w:rFonts w:ascii="Times New Roman" w:eastAsia="新細明體" w:hAnsi="Times New Roman" w:cs="Times New Roman"/>
          <w:kern w:val="0"/>
          <w:szCs w:val="24"/>
        </w:rPr>
      </w:pPr>
      <w:r w:rsidRPr="00A412AD">
        <w:rPr>
          <w:rFonts w:ascii="Times New Roman" w:eastAsia="新細明體" w:hAnsi="Times New Roman" w:cs="Times New Roman"/>
          <w:kern w:val="0"/>
          <w:szCs w:val="24"/>
        </w:rPr>
        <w:t>Informed Consent:</w:t>
      </w:r>
      <w:r w:rsidRPr="00A412AD">
        <w:rPr>
          <w:rFonts w:ascii="Times New Roman" w:eastAsia="新細明體" w:hAnsi="Times New Roman" w:cs="Times New Roman"/>
          <w:kern w:val="0"/>
          <w:szCs w:val="24"/>
        </w:rPr>
        <w:br/>
        <w:t xml:space="preserve">Informed consent forms were distributed to both students and their parents. The purpose of the study, the voluntary nature of participation, and the principle of anonymity were clearly explained. Participation proceeded only after signed consent was obtained. </w:t>
      </w:r>
    </w:p>
    <w:p w14:paraId="74B54D1B" w14:textId="77777777" w:rsidR="00A412AD" w:rsidRPr="00A412AD" w:rsidRDefault="00A412AD" w:rsidP="00A412AD">
      <w:pPr>
        <w:widowControl/>
        <w:numPr>
          <w:ilvl w:val="0"/>
          <w:numId w:val="3"/>
        </w:numPr>
        <w:rPr>
          <w:rFonts w:ascii="Times New Roman" w:eastAsia="新細明體" w:hAnsi="Times New Roman" w:cs="Times New Roman"/>
          <w:kern w:val="0"/>
          <w:szCs w:val="24"/>
        </w:rPr>
      </w:pPr>
      <w:r w:rsidRPr="00A412AD">
        <w:rPr>
          <w:rFonts w:ascii="Times New Roman" w:eastAsia="新細明體" w:hAnsi="Times New Roman" w:cs="Times New Roman"/>
          <w:kern w:val="0"/>
          <w:szCs w:val="24"/>
        </w:rPr>
        <w:t>Questionnaire Administration:</w:t>
      </w:r>
      <w:r w:rsidRPr="00A412AD">
        <w:rPr>
          <w:rFonts w:ascii="Times New Roman" w:eastAsia="新細明體" w:hAnsi="Times New Roman" w:cs="Times New Roman"/>
          <w:kern w:val="0"/>
          <w:szCs w:val="24"/>
        </w:rPr>
        <w:br/>
        <w:t xml:space="preserve">After obtaining consent, anonymous questionnaires were administered during regular class time. Students completed the questionnaire independently. </w:t>
      </w:r>
    </w:p>
    <w:p w14:paraId="270870D2" w14:textId="77777777" w:rsidR="00BE3E26" w:rsidRDefault="00A412AD" w:rsidP="00BE3E26">
      <w:pPr>
        <w:widowControl/>
        <w:numPr>
          <w:ilvl w:val="0"/>
          <w:numId w:val="3"/>
        </w:numPr>
        <w:rPr>
          <w:rFonts w:ascii="Times New Roman" w:eastAsia="新細明體" w:hAnsi="Times New Roman" w:cs="Times New Roman"/>
          <w:kern w:val="0"/>
          <w:szCs w:val="24"/>
        </w:rPr>
      </w:pPr>
      <w:r w:rsidRPr="00A412AD">
        <w:rPr>
          <w:rFonts w:ascii="Times New Roman" w:eastAsia="新細明體" w:hAnsi="Times New Roman" w:cs="Times New Roman"/>
          <w:kern w:val="0"/>
          <w:szCs w:val="24"/>
        </w:rPr>
        <w:t>Data Collection and Processing:</w:t>
      </w:r>
      <w:r w:rsidRPr="00A412AD">
        <w:rPr>
          <w:rFonts w:ascii="Times New Roman" w:eastAsia="新細明體" w:hAnsi="Times New Roman" w:cs="Times New Roman"/>
          <w:kern w:val="0"/>
          <w:szCs w:val="24"/>
        </w:rPr>
        <w:br/>
        <w:t>The researcher administered the questionnaires in person during class and provided clear instructions regarding the purpose of the study and how to complete the questionnaire to ensure participants’ understanding. After collection, the questionnaires were coded and cleaned, and incomplete or invalid responses were removed.</w:t>
      </w:r>
    </w:p>
    <w:p w14:paraId="62BEFD0A" w14:textId="1AACE22F" w:rsidR="00BE3E26" w:rsidRPr="00BE3E26" w:rsidRDefault="00BE3E26" w:rsidP="00BE3E26">
      <w:pPr>
        <w:pStyle w:val="Web"/>
        <w:spacing w:before="0" w:beforeAutospacing="0" w:after="0" w:afterAutospacing="0"/>
        <w:rPr>
          <w:rFonts w:ascii="Times New Roman" w:hAnsi="Times New Roman" w:cs="Times New Roman"/>
        </w:rPr>
      </w:pPr>
      <w:r w:rsidRPr="00BE3E26">
        <w:rPr>
          <w:rStyle w:val="a3"/>
          <w:rFonts w:ascii="Times New Roman" w:hAnsi="Times New Roman" w:cs="Times New Roman"/>
        </w:rPr>
        <w:t>Results</w:t>
      </w:r>
    </w:p>
    <w:p w14:paraId="0A411B5A" w14:textId="77777777" w:rsidR="00BE3E26" w:rsidRDefault="00BE3E26" w:rsidP="00BE3E26">
      <w:pPr>
        <w:pStyle w:val="Web"/>
        <w:spacing w:before="0" w:beforeAutospacing="0" w:after="0" w:afterAutospacing="0"/>
        <w:ind w:firstLineChars="200" w:firstLine="480"/>
        <w:rPr>
          <w:rFonts w:ascii="Times New Roman" w:hAnsi="Times New Roman" w:cs="Times New Roman"/>
        </w:rPr>
      </w:pPr>
      <w:r w:rsidRPr="00BE3E26">
        <w:rPr>
          <w:rFonts w:ascii="Times New Roman" w:hAnsi="Times New Roman" w:cs="Times New Roman"/>
        </w:rPr>
        <w:t xml:space="preserve">Based on the research objectives and research questions, this study employed descriptive statistics, one-way analysis of variance (ANOVA), and Tukey’s post hoc </w:t>
      </w:r>
      <w:r w:rsidRPr="00BE3E26">
        <w:rPr>
          <w:rFonts w:ascii="Times New Roman" w:hAnsi="Times New Roman" w:cs="Times New Roman"/>
        </w:rPr>
        <w:lastRenderedPageBreak/>
        <w:t>test to examine differences in teaching method preferences among students with different personality traits. The results are presented as follows.</w:t>
      </w:r>
    </w:p>
    <w:p w14:paraId="5FBB7CED" w14:textId="5BF2BCC8" w:rsidR="00BE3E26" w:rsidRPr="00AD5B73" w:rsidRDefault="00BE3E26" w:rsidP="00BE3E26">
      <w:pPr>
        <w:pStyle w:val="Web"/>
        <w:spacing w:before="0" w:beforeAutospacing="0" w:after="0" w:afterAutospacing="0"/>
        <w:rPr>
          <w:rFonts w:ascii="Times New Roman" w:hAnsi="Times New Roman" w:cs="Times New Roman"/>
          <w:b/>
          <w:bCs/>
        </w:rPr>
      </w:pPr>
      <w:r w:rsidRPr="00AD5B73">
        <w:rPr>
          <w:rFonts w:ascii="Times New Roman" w:hAnsi="Times New Roman" w:cs="Times New Roman"/>
          <w:b/>
          <w:bCs/>
        </w:rPr>
        <w:t>1. Descriptive Statistics</w:t>
      </w:r>
    </w:p>
    <w:p w14:paraId="4B19212B" w14:textId="77777777" w:rsidR="00BE3E26" w:rsidRDefault="00BE3E26" w:rsidP="00BE3E26">
      <w:pPr>
        <w:pStyle w:val="Web"/>
        <w:spacing w:before="0" w:beforeAutospacing="0" w:after="0" w:afterAutospacing="0"/>
        <w:ind w:firstLineChars="200" w:firstLine="480"/>
        <w:rPr>
          <w:rFonts w:ascii="Times New Roman" w:hAnsi="Times New Roman" w:cs="Times New Roman"/>
        </w:rPr>
      </w:pPr>
      <w:r w:rsidRPr="00BE3E26">
        <w:rPr>
          <w:rFonts w:ascii="Times New Roman" w:hAnsi="Times New Roman" w:cs="Times New Roman"/>
        </w:rPr>
        <w:t>To understand the overall distribution of teaching method preferences among students with different personality traits, descriptive statistical analyses were first conducted for preferences toward video-based instruction and stage-based practical instruction. The results are presented in Table 1.</w:t>
      </w:r>
    </w:p>
    <w:p w14:paraId="293547E5" w14:textId="5D456AA5" w:rsidR="00BE3E26" w:rsidRPr="00BE3E26" w:rsidRDefault="00BE3E26" w:rsidP="00BE3E26">
      <w:pPr>
        <w:pStyle w:val="Web"/>
        <w:spacing w:before="0" w:beforeAutospacing="0" w:after="0" w:afterAutospacing="0"/>
        <w:rPr>
          <w:rFonts w:ascii="Times New Roman" w:hAnsi="Times New Roman" w:cs="Times New Roman"/>
        </w:rPr>
      </w:pPr>
      <w:r w:rsidRPr="00BE3E26">
        <w:rPr>
          <w:rStyle w:val="a3"/>
          <w:rFonts w:ascii="Times New Roman" w:hAnsi="Times New Roman" w:cs="Times New Roman"/>
        </w:rPr>
        <w:t>Table 1</w:t>
      </w:r>
    </w:p>
    <w:p w14:paraId="7C13E4DE" w14:textId="77777777" w:rsidR="00BE3E26" w:rsidRPr="00BE3E26" w:rsidRDefault="00BE3E26" w:rsidP="00BE3E26">
      <w:pPr>
        <w:pStyle w:val="Web"/>
        <w:spacing w:before="0" w:beforeAutospacing="0" w:after="0" w:afterAutospacing="0"/>
        <w:rPr>
          <w:rFonts w:ascii="Times New Roman" w:hAnsi="Times New Roman" w:cs="Times New Roman"/>
        </w:rPr>
      </w:pPr>
      <w:r w:rsidRPr="00BE3E26">
        <w:rPr>
          <w:rStyle w:val="a3"/>
          <w:rFonts w:ascii="Times New Roman" w:hAnsi="Times New Roman" w:cs="Times New Roman"/>
        </w:rPr>
        <w:t>Descriptive Statistics of Teaching Method Preferences Across Personality Types</w:t>
      </w:r>
    </w:p>
    <w:tbl>
      <w:tblPr>
        <w:tblStyle w:val="a6"/>
        <w:tblW w:w="8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
        <w:gridCol w:w="2084"/>
        <w:gridCol w:w="126"/>
        <w:gridCol w:w="561"/>
        <w:gridCol w:w="359"/>
        <w:gridCol w:w="2321"/>
        <w:gridCol w:w="132"/>
        <w:gridCol w:w="2934"/>
        <w:gridCol w:w="126"/>
      </w:tblGrid>
      <w:tr w:rsidR="00BE3E26" w:rsidRPr="00705159" w14:paraId="39AA3DA1" w14:textId="77777777" w:rsidTr="00705159">
        <w:trPr>
          <w:gridAfter w:val="1"/>
          <w:wAfter w:w="126" w:type="dxa"/>
          <w:trHeight w:val="1000"/>
        </w:trPr>
        <w:tc>
          <w:tcPr>
            <w:tcW w:w="2215" w:type="dxa"/>
            <w:gridSpan w:val="2"/>
            <w:tcBorders>
              <w:top w:val="single" w:sz="4" w:space="0" w:color="auto"/>
              <w:bottom w:val="single" w:sz="4" w:space="0" w:color="auto"/>
            </w:tcBorders>
            <w:hideMark/>
          </w:tcPr>
          <w:p w14:paraId="3F11F97E" w14:textId="77777777" w:rsidR="00BE3E26" w:rsidRPr="00705159" w:rsidRDefault="00BE3E26" w:rsidP="00BE3E26">
            <w:pPr>
              <w:widowControl/>
              <w:rPr>
                <w:rFonts w:ascii="Times New Roman" w:hAnsi="Times New Roman" w:cs="Times New Roman"/>
                <w:sz w:val="22"/>
              </w:rPr>
            </w:pPr>
            <w:r w:rsidRPr="00705159">
              <w:rPr>
                <w:rFonts w:ascii="Times New Roman" w:hAnsi="Times New Roman" w:cs="Times New Roman"/>
                <w:sz w:val="22"/>
              </w:rPr>
              <w:t>Personality Type</w:t>
            </w:r>
          </w:p>
          <w:p w14:paraId="3350BDBB" w14:textId="2A60E670" w:rsidR="00BE3E26" w:rsidRPr="00705159" w:rsidRDefault="00BE3E26" w:rsidP="00F36735">
            <w:pPr>
              <w:widowControl/>
              <w:jc w:val="center"/>
              <w:rPr>
                <w:rFonts w:ascii="Times New Roman" w:eastAsia="標楷體" w:hAnsi="Times New Roman" w:cs="Times New Roman"/>
                <w:kern w:val="0"/>
                <w:sz w:val="22"/>
              </w:rPr>
            </w:pPr>
          </w:p>
        </w:tc>
        <w:tc>
          <w:tcPr>
            <w:tcW w:w="1046" w:type="dxa"/>
            <w:gridSpan w:val="3"/>
            <w:tcBorders>
              <w:top w:val="single" w:sz="4" w:space="0" w:color="auto"/>
              <w:bottom w:val="single" w:sz="4" w:space="0" w:color="auto"/>
            </w:tcBorders>
            <w:hideMark/>
          </w:tcPr>
          <w:p w14:paraId="3B8B846D" w14:textId="77777777" w:rsidR="00BE3E26" w:rsidRPr="00705159" w:rsidRDefault="00BE3E26" w:rsidP="00BE3E26">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N</w:t>
            </w:r>
          </w:p>
        </w:tc>
        <w:tc>
          <w:tcPr>
            <w:tcW w:w="2321" w:type="dxa"/>
            <w:tcBorders>
              <w:top w:val="single" w:sz="4" w:space="0" w:color="auto"/>
              <w:bottom w:val="single" w:sz="4" w:space="0" w:color="auto"/>
            </w:tcBorders>
            <w:hideMark/>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E3E26" w:rsidRPr="00BE3E26" w14:paraId="3E3661F6" w14:textId="77777777" w:rsidTr="00BE3E26">
              <w:trPr>
                <w:tblCellSpacing w:w="15" w:type="dxa"/>
              </w:trPr>
              <w:tc>
                <w:tcPr>
                  <w:tcW w:w="36" w:type="dxa"/>
                  <w:vAlign w:val="center"/>
                  <w:hideMark/>
                </w:tcPr>
                <w:p w14:paraId="044DF82C" w14:textId="77777777" w:rsidR="00BE3E26" w:rsidRPr="00BE3E26" w:rsidRDefault="00BE3E26" w:rsidP="00BE3E26">
                  <w:pPr>
                    <w:widowControl/>
                    <w:rPr>
                      <w:rFonts w:ascii="Times New Roman" w:eastAsia="新細明體" w:hAnsi="Times New Roman" w:cs="Times New Roman"/>
                      <w:kern w:val="0"/>
                      <w:sz w:val="22"/>
                    </w:rPr>
                  </w:pPr>
                </w:p>
              </w:tc>
            </w:tr>
          </w:tbl>
          <w:p w14:paraId="4758FA20" w14:textId="77777777" w:rsidR="00BE3E26" w:rsidRPr="00BE3E26" w:rsidRDefault="00BE3E26" w:rsidP="00BE3E26">
            <w:pPr>
              <w:widowControl/>
              <w:rPr>
                <w:rFonts w:ascii="Times New Roman" w:eastAsia="新細明體" w:hAnsi="Times New Roman" w:cs="Times New Roman"/>
                <w:vanish/>
                <w:kern w:val="0"/>
                <w:sz w:val="22"/>
              </w:rPr>
            </w:pPr>
          </w:p>
          <w:tbl>
            <w:tblPr>
              <w:tblW w:w="2464"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2464"/>
            </w:tblGrid>
            <w:tr w:rsidR="00BE3E26" w:rsidRPr="00BE3E26" w14:paraId="4B3D18D9" w14:textId="77777777" w:rsidTr="00BE3E26">
              <w:trPr>
                <w:trHeight w:val="697"/>
                <w:tblCellSpacing w:w="15" w:type="dxa"/>
              </w:trPr>
              <w:tc>
                <w:tcPr>
                  <w:tcW w:w="2404" w:type="dxa"/>
                  <w:vAlign w:val="center"/>
                  <w:hideMark/>
                </w:tcPr>
                <w:p w14:paraId="0A414789" w14:textId="08E2AF69" w:rsidR="00BE3E26" w:rsidRPr="00705159" w:rsidRDefault="00BE3E26" w:rsidP="00BE3E26">
                  <w:pPr>
                    <w:widowControl/>
                    <w:ind w:firstLineChars="300" w:firstLine="660"/>
                    <w:rPr>
                      <w:rFonts w:ascii="Times New Roman" w:eastAsia="新細明體" w:hAnsi="Times New Roman" w:cs="Times New Roman"/>
                      <w:kern w:val="0"/>
                      <w:sz w:val="22"/>
                    </w:rPr>
                  </w:pPr>
                  <w:r w:rsidRPr="00BE3E26">
                    <w:rPr>
                      <w:rFonts w:ascii="Times New Roman" w:eastAsia="新細明體" w:hAnsi="Times New Roman" w:cs="Times New Roman"/>
                      <w:kern w:val="0"/>
                      <w:sz w:val="22"/>
                    </w:rPr>
                    <w:t>Video-Based</w:t>
                  </w:r>
                </w:p>
                <w:p w14:paraId="3F20BD4D" w14:textId="03407FB4" w:rsidR="00BE3E26" w:rsidRPr="00705159" w:rsidRDefault="00BE3E26" w:rsidP="00BE3E26">
                  <w:pPr>
                    <w:widowControl/>
                    <w:ind w:firstLineChars="200" w:firstLine="440"/>
                    <w:rPr>
                      <w:rFonts w:ascii="Times New Roman" w:eastAsia="新細明體" w:hAnsi="Times New Roman" w:cs="Times New Roman"/>
                      <w:kern w:val="0"/>
                      <w:sz w:val="22"/>
                    </w:rPr>
                  </w:pPr>
                  <w:r w:rsidRPr="00705159">
                    <w:rPr>
                      <w:rFonts w:ascii="Times New Roman" w:eastAsia="新細明體" w:hAnsi="Times New Roman" w:cs="Times New Roman"/>
                      <w:kern w:val="0"/>
                      <w:sz w:val="22"/>
                    </w:rPr>
                    <w:t xml:space="preserve">  </w:t>
                  </w:r>
                  <w:r w:rsidRPr="00BE3E26">
                    <w:rPr>
                      <w:rFonts w:ascii="Times New Roman" w:eastAsia="新細明體" w:hAnsi="Times New Roman" w:cs="Times New Roman"/>
                      <w:kern w:val="0"/>
                      <w:sz w:val="22"/>
                    </w:rPr>
                    <w:t>Instruction</w:t>
                  </w:r>
                </w:p>
                <w:p w14:paraId="3B807CB6" w14:textId="51ECC4A3" w:rsidR="00BE3E26" w:rsidRPr="00BE3E26" w:rsidRDefault="00BE3E26" w:rsidP="00BE3E26">
                  <w:pPr>
                    <w:widowControl/>
                    <w:ind w:firstLineChars="400" w:firstLine="880"/>
                    <w:rPr>
                      <w:rFonts w:ascii="Times New Roman" w:eastAsia="新細明體" w:hAnsi="Times New Roman" w:cs="Times New Roman"/>
                      <w:kern w:val="0"/>
                      <w:sz w:val="22"/>
                    </w:rPr>
                  </w:pPr>
                  <w:r w:rsidRPr="00705159">
                    <w:rPr>
                      <w:rFonts w:ascii="Times New Roman" w:eastAsia="標楷體" w:hAnsi="Times New Roman" w:cs="Times New Roman"/>
                      <w:kern w:val="0"/>
                      <w:sz w:val="22"/>
                    </w:rPr>
                    <w:t>M ± SD</w:t>
                  </w:r>
                </w:p>
              </w:tc>
            </w:tr>
          </w:tbl>
          <w:p w14:paraId="082320AE" w14:textId="4D0E6BDB" w:rsidR="00BE3E26" w:rsidRPr="00705159" w:rsidRDefault="00BE3E26" w:rsidP="00BE3E26">
            <w:pPr>
              <w:widowControl/>
              <w:ind w:right="960" w:firstLineChars="200" w:firstLine="440"/>
              <w:rPr>
                <w:rFonts w:ascii="Times New Roman" w:eastAsia="標楷體" w:hAnsi="Times New Roman" w:cs="Times New Roman"/>
                <w:kern w:val="0"/>
                <w:sz w:val="22"/>
              </w:rPr>
            </w:pPr>
          </w:p>
        </w:tc>
        <w:tc>
          <w:tcPr>
            <w:tcW w:w="3066" w:type="dxa"/>
            <w:gridSpan w:val="2"/>
            <w:tcBorders>
              <w:top w:val="single" w:sz="4" w:space="0" w:color="auto"/>
              <w:bottom w:val="single" w:sz="4" w:space="0" w:color="auto"/>
            </w:tcBorders>
            <w:hideMark/>
          </w:tcPr>
          <w:p w14:paraId="46A96BC8" w14:textId="7B517A32" w:rsidR="00BE3E26" w:rsidRPr="00705159" w:rsidRDefault="00BE3E26" w:rsidP="00BE3E26">
            <w:pPr>
              <w:widowControl/>
              <w:jc w:val="center"/>
              <w:rPr>
                <w:rFonts w:ascii="Times New Roman" w:hAnsi="Times New Roman" w:cs="Times New Roman"/>
                <w:sz w:val="22"/>
              </w:rPr>
            </w:pPr>
            <w:r w:rsidRPr="00705159">
              <w:rPr>
                <w:rFonts w:ascii="Times New Roman" w:hAnsi="Times New Roman" w:cs="Times New Roman"/>
                <w:sz w:val="22"/>
              </w:rPr>
              <w:t xml:space="preserve">        Stage-Based       </w:t>
            </w:r>
          </w:p>
          <w:p w14:paraId="76D4EAE0" w14:textId="5FE8A6BD" w:rsidR="00BE3E26" w:rsidRPr="00705159" w:rsidRDefault="00BE3E26" w:rsidP="00BE3E26">
            <w:pPr>
              <w:widowControl/>
              <w:jc w:val="center"/>
              <w:rPr>
                <w:rFonts w:ascii="Times New Roman" w:eastAsia="標楷體" w:hAnsi="Times New Roman" w:cs="Times New Roman"/>
                <w:kern w:val="0"/>
                <w:sz w:val="22"/>
              </w:rPr>
            </w:pPr>
            <w:r w:rsidRPr="00705159">
              <w:rPr>
                <w:rFonts w:ascii="Times New Roman" w:hAnsi="Times New Roman" w:cs="Times New Roman"/>
                <w:sz w:val="22"/>
              </w:rPr>
              <w:t xml:space="preserve">        </w:t>
            </w:r>
            <w:proofErr w:type="spellStart"/>
            <w:r w:rsidRPr="00705159">
              <w:rPr>
                <w:rFonts w:ascii="Times New Roman" w:hAnsi="Times New Roman" w:cs="Times New Roman"/>
                <w:sz w:val="22"/>
              </w:rPr>
              <w:t>PracticalInstruction</w:t>
            </w:r>
            <w:proofErr w:type="spellEnd"/>
          </w:p>
          <w:p w14:paraId="6C98B6D0"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M ± SD</w:t>
            </w:r>
          </w:p>
        </w:tc>
      </w:tr>
      <w:tr w:rsidR="00BE3E26" w:rsidRPr="00BE3E26" w14:paraId="6B50AFFB" w14:textId="77777777" w:rsidTr="00BE3E26">
        <w:trPr>
          <w:gridBefore w:val="1"/>
          <w:wBefore w:w="131" w:type="dxa"/>
        </w:trPr>
        <w:tc>
          <w:tcPr>
            <w:tcW w:w="2210" w:type="dxa"/>
            <w:gridSpan w:val="2"/>
            <w:tcBorders>
              <w:top w:val="single" w:sz="4" w:space="0" w:color="auto"/>
              <w:bottom w:val="single" w:sz="4" w:space="0" w:color="auto"/>
            </w:tcBorders>
            <w:hideMark/>
          </w:tcPr>
          <w:p w14:paraId="530B0AE6" w14:textId="151D6E18" w:rsidR="00BE3E26" w:rsidRPr="00705159" w:rsidRDefault="00BE3E26" w:rsidP="00F36735">
            <w:pPr>
              <w:widowControl/>
              <w:rPr>
                <w:rFonts w:ascii="Times New Roman" w:eastAsia="標楷體" w:hAnsi="Times New Roman" w:cs="Times New Roman"/>
                <w:kern w:val="0"/>
                <w:sz w:val="22"/>
              </w:rPr>
            </w:pPr>
            <w:r w:rsidRPr="00705159">
              <w:rPr>
                <w:rFonts w:ascii="Times New Roman" w:eastAsia="標楷體" w:hAnsi="Times New Roman" w:cs="Times New Roman"/>
                <w:kern w:val="0"/>
                <w:sz w:val="22"/>
              </w:rPr>
              <w:t xml:space="preserve"> </w:t>
            </w:r>
            <w:r w:rsidRPr="00705159">
              <w:rPr>
                <w:rFonts w:ascii="Times New Roman" w:hAnsi="Times New Roman" w:cs="Times New Roman"/>
                <w:sz w:val="22"/>
              </w:rPr>
              <w:t>Type 1</w:t>
            </w:r>
          </w:p>
        </w:tc>
        <w:tc>
          <w:tcPr>
            <w:tcW w:w="561" w:type="dxa"/>
            <w:tcBorders>
              <w:top w:val="single" w:sz="4" w:space="0" w:color="auto"/>
              <w:bottom w:val="single" w:sz="4" w:space="0" w:color="auto"/>
            </w:tcBorders>
            <w:hideMark/>
          </w:tcPr>
          <w:p w14:paraId="69AE0958" w14:textId="77777777" w:rsidR="00BE3E26" w:rsidRPr="00705159" w:rsidRDefault="00BE3E26" w:rsidP="00F36735">
            <w:pPr>
              <w:widowControl/>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10</w:t>
            </w:r>
          </w:p>
        </w:tc>
        <w:tc>
          <w:tcPr>
            <w:tcW w:w="2812" w:type="dxa"/>
            <w:gridSpan w:val="3"/>
            <w:tcBorders>
              <w:top w:val="single" w:sz="4" w:space="0" w:color="auto"/>
              <w:bottom w:val="single" w:sz="4" w:space="0" w:color="auto"/>
            </w:tcBorders>
            <w:hideMark/>
          </w:tcPr>
          <w:p w14:paraId="54A97578"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4.40 ± 0.52</w:t>
            </w:r>
          </w:p>
        </w:tc>
        <w:tc>
          <w:tcPr>
            <w:tcW w:w="3060" w:type="dxa"/>
            <w:gridSpan w:val="2"/>
            <w:tcBorders>
              <w:top w:val="single" w:sz="4" w:space="0" w:color="auto"/>
              <w:bottom w:val="single" w:sz="4" w:space="0" w:color="auto"/>
            </w:tcBorders>
            <w:hideMark/>
          </w:tcPr>
          <w:p w14:paraId="040C6A25"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1.80 ± 0.42</w:t>
            </w:r>
          </w:p>
        </w:tc>
      </w:tr>
      <w:tr w:rsidR="00BE3E26" w:rsidRPr="00BE3E26" w14:paraId="653E11B5" w14:textId="77777777" w:rsidTr="00BE3E26">
        <w:trPr>
          <w:gridBefore w:val="1"/>
          <w:wBefore w:w="131" w:type="dxa"/>
        </w:trPr>
        <w:tc>
          <w:tcPr>
            <w:tcW w:w="2210" w:type="dxa"/>
            <w:gridSpan w:val="2"/>
            <w:tcBorders>
              <w:top w:val="single" w:sz="4" w:space="0" w:color="auto"/>
              <w:bottom w:val="single" w:sz="4" w:space="0" w:color="auto"/>
            </w:tcBorders>
            <w:hideMark/>
          </w:tcPr>
          <w:p w14:paraId="117C2646" w14:textId="0CB08AE3" w:rsidR="00BE3E26" w:rsidRPr="00705159" w:rsidRDefault="00BE3E26" w:rsidP="00F36735">
            <w:pPr>
              <w:widowControl/>
              <w:rPr>
                <w:rFonts w:ascii="Times New Roman" w:eastAsia="標楷體" w:hAnsi="Times New Roman" w:cs="Times New Roman"/>
                <w:kern w:val="0"/>
                <w:sz w:val="22"/>
              </w:rPr>
            </w:pPr>
            <w:r w:rsidRPr="00705159">
              <w:rPr>
                <w:rFonts w:ascii="Times New Roman" w:eastAsia="標楷體" w:hAnsi="Times New Roman" w:cs="Times New Roman"/>
                <w:kern w:val="0"/>
                <w:sz w:val="22"/>
              </w:rPr>
              <w:t xml:space="preserve"> </w:t>
            </w:r>
            <w:r w:rsidRPr="00705159">
              <w:rPr>
                <w:rFonts w:ascii="Times New Roman" w:hAnsi="Times New Roman" w:cs="Times New Roman"/>
                <w:sz w:val="22"/>
              </w:rPr>
              <w:t>Type 2</w:t>
            </w:r>
          </w:p>
        </w:tc>
        <w:tc>
          <w:tcPr>
            <w:tcW w:w="561" w:type="dxa"/>
            <w:tcBorders>
              <w:top w:val="single" w:sz="4" w:space="0" w:color="auto"/>
              <w:bottom w:val="single" w:sz="4" w:space="0" w:color="auto"/>
            </w:tcBorders>
            <w:hideMark/>
          </w:tcPr>
          <w:p w14:paraId="62D50918" w14:textId="77777777" w:rsidR="00BE3E26" w:rsidRPr="00705159" w:rsidRDefault="00BE3E26" w:rsidP="00F36735">
            <w:pPr>
              <w:widowControl/>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10</w:t>
            </w:r>
          </w:p>
        </w:tc>
        <w:tc>
          <w:tcPr>
            <w:tcW w:w="2812" w:type="dxa"/>
            <w:gridSpan w:val="3"/>
            <w:tcBorders>
              <w:top w:val="single" w:sz="4" w:space="0" w:color="auto"/>
              <w:bottom w:val="single" w:sz="4" w:space="0" w:color="auto"/>
            </w:tcBorders>
            <w:hideMark/>
          </w:tcPr>
          <w:p w14:paraId="21CACA5E"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4.20 ± 0.42</w:t>
            </w:r>
          </w:p>
        </w:tc>
        <w:tc>
          <w:tcPr>
            <w:tcW w:w="3060" w:type="dxa"/>
            <w:gridSpan w:val="2"/>
            <w:tcBorders>
              <w:top w:val="single" w:sz="4" w:space="0" w:color="auto"/>
              <w:bottom w:val="single" w:sz="4" w:space="0" w:color="auto"/>
            </w:tcBorders>
            <w:hideMark/>
          </w:tcPr>
          <w:p w14:paraId="7BC23A28"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1.50 ± 0.53</w:t>
            </w:r>
          </w:p>
        </w:tc>
      </w:tr>
      <w:tr w:rsidR="00BE3E26" w:rsidRPr="00BE3E26" w14:paraId="7514E8D5" w14:textId="77777777" w:rsidTr="00BE3E26">
        <w:trPr>
          <w:gridBefore w:val="1"/>
          <w:wBefore w:w="131" w:type="dxa"/>
        </w:trPr>
        <w:tc>
          <w:tcPr>
            <w:tcW w:w="2210" w:type="dxa"/>
            <w:gridSpan w:val="2"/>
            <w:tcBorders>
              <w:top w:val="single" w:sz="4" w:space="0" w:color="auto"/>
              <w:bottom w:val="single" w:sz="4" w:space="0" w:color="auto"/>
            </w:tcBorders>
            <w:hideMark/>
          </w:tcPr>
          <w:p w14:paraId="193A2C4A" w14:textId="2D252079" w:rsidR="00BE3E26" w:rsidRPr="00705159" w:rsidRDefault="00BE3E26" w:rsidP="00F36735">
            <w:pPr>
              <w:widowControl/>
              <w:rPr>
                <w:rFonts w:ascii="Times New Roman" w:eastAsia="標楷體" w:hAnsi="Times New Roman" w:cs="Times New Roman"/>
                <w:kern w:val="0"/>
                <w:sz w:val="22"/>
              </w:rPr>
            </w:pPr>
            <w:r w:rsidRPr="00705159">
              <w:rPr>
                <w:rFonts w:ascii="Times New Roman" w:eastAsia="標楷體" w:hAnsi="Times New Roman" w:cs="Times New Roman"/>
                <w:kern w:val="0"/>
                <w:sz w:val="22"/>
              </w:rPr>
              <w:t xml:space="preserve"> </w:t>
            </w:r>
            <w:r w:rsidRPr="00705159">
              <w:rPr>
                <w:rFonts w:ascii="Times New Roman" w:hAnsi="Times New Roman" w:cs="Times New Roman"/>
                <w:sz w:val="22"/>
              </w:rPr>
              <w:t>Type 3</w:t>
            </w:r>
          </w:p>
        </w:tc>
        <w:tc>
          <w:tcPr>
            <w:tcW w:w="561" w:type="dxa"/>
            <w:tcBorders>
              <w:top w:val="single" w:sz="4" w:space="0" w:color="auto"/>
              <w:bottom w:val="single" w:sz="4" w:space="0" w:color="auto"/>
            </w:tcBorders>
            <w:hideMark/>
          </w:tcPr>
          <w:p w14:paraId="67C1DD0F" w14:textId="77777777" w:rsidR="00BE3E26" w:rsidRPr="00705159" w:rsidRDefault="00BE3E26" w:rsidP="00F36735">
            <w:pPr>
              <w:widowControl/>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10</w:t>
            </w:r>
          </w:p>
        </w:tc>
        <w:tc>
          <w:tcPr>
            <w:tcW w:w="2812" w:type="dxa"/>
            <w:gridSpan w:val="3"/>
            <w:tcBorders>
              <w:top w:val="single" w:sz="4" w:space="0" w:color="auto"/>
              <w:bottom w:val="single" w:sz="4" w:space="0" w:color="auto"/>
            </w:tcBorders>
            <w:hideMark/>
          </w:tcPr>
          <w:p w14:paraId="134A81E9"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3.90 ± 0.88</w:t>
            </w:r>
          </w:p>
        </w:tc>
        <w:tc>
          <w:tcPr>
            <w:tcW w:w="3060" w:type="dxa"/>
            <w:gridSpan w:val="2"/>
            <w:tcBorders>
              <w:top w:val="single" w:sz="4" w:space="0" w:color="auto"/>
              <w:bottom w:val="single" w:sz="4" w:space="0" w:color="auto"/>
            </w:tcBorders>
            <w:hideMark/>
          </w:tcPr>
          <w:p w14:paraId="2C668BFB"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3.40 ± 1.35</w:t>
            </w:r>
          </w:p>
        </w:tc>
      </w:tr>
      <w:tr w:rsidR="00BE3E26" w:rsidRPr="00BE3E26" w14:paraId="24CEC16F" w14:textId="77777777" w:rsidTr="00BE3E26">
        <w:trPr>
          <w:gridBefore w:val="1"/>
          <w:wBefore w:w="131" w:type="dxa"/>
        </w:trPr>
        <w:tc>
          <w:tcPr>
            <w:tcW w:w="2210" w:type="dxa"/>
            <w:gridSpan w:val="2"/>
            <w:tcBorders>
              <w:top w:val="single" w:sz="4" w:space="0" w:color="auto"/>
              <w:bottom w:val="single" w:sz="4" w:space="0" w:color="auto"/>
            </w:tcBorders>
            <w:hideMark/>
          </w:tcPr>
          <w:p w14:paraId="3E352C9D" w14:textId="48BCBB0F" w:rsidR="00BE3E26" w:rsidRPr="00705159" w:rsidRDefault="00BE3E26" w:rsidP="00BE3E26">
            <w:pPr>
              <w:widowControl/>
              <w:rPr>
                <w:rFonts w:ascii="Times New Roman" w:eastAsia="標楷體" w:hAnsi="Times New Roman" w:cs="Times New Roman"/>
                <w:kern w:val="0"/>
                <w:sz w:val="22"/>
              </w:rPr>
            </w:pPr>
            <w:r w:rsidRPr="00705159">
              <w:rPr>
                <w:rFonts w:ascii="Times New Roman" w:hAnsi="Times New Roman" w:cs="Times New Roman"/>
                <w:sz w:val="22"/>
              </w:rPr>
              <w:t xml:space="preserve"> Type 4</w:t>
            </w:r>
          </w:p>
        </w:tc>
        <w:tc>
          <w:tcPr>
            <w:tcW w:w="561" w:type="dxa"/>
            <w:tcBorders>
              <w:top w:val="single" w:sz="4" w:space="0" w:color="auto"/>
              <w:bottom w:val="single" w:sz="4" w:space="0" w:color="auto"/>
            </w:tcBorders>
            <w:hideMark/>
          </w:tcPr>
          <w:p w14:paraId="18FD58FB" w14:textId="77777777" w:rsidR="00BE3E26" w:rsidRPr="00705159" w:rsidRDefault="00BE3E26" w:rsidP="00F36735">
            <w:pPr>
              <w:widowControl/>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10</w:t>
            </w:r>
          </w:p>
        </w:tc>
        <w:tc>
          <w:tcPr>
            <w:tcW w:w="2812" w:type="dxa"/>
            <w:gridSpan w:val="3"/>
            <w:tcBorders>
              <w:top w:val="single" w:sz="4" w:space="0" w:color="auto"/>
              <w:bottom w:val="single" w:sz="4" w:space="0" w:color="auto"/>
            </w:tcBorders>
            <w:hideMark/>
          </w:tcPr>
          <w:p w14:paraId="4A4B55C5"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3.90 ± 0.74</w:t>
            </w:r>
          </w:p>
        </w:tc>
        <w:tc>
          <w:tcPr>
            <w:tcW w:w="3060" w:type="dxa"/>
            <w:gridSpan w:val="2"/>
            <w:tcBorders>
              <w:top w:val="single" w:sz="4" w:space="0" w:color="auto"/>
              <w:bottom w:val="single" w:sz="4" w:space="0" w:color="auto"/>
            </w:tcBorders>
            <w:hideMark/>
          </w:tcPr>
          <w:p w14:paraId="4726566F"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2.00 ± 0.94</w:t>
            </w:r>
          </w:p>
        </w:tc>
      </w:tr>
      <w:tr w:rsidR="00BE3E26" w:rsidRPr="00BE3E26" w14:paraId="62C07FCF" w14:textId="77777777" w:rsidTr="00BE3E26">
        <w:trPr>
          <w:gridBefore w:val="1"/>
          <w:wBefore w:w="131" w:type="dxa"/>
        </w:trPr>
        <w:tc>
          <w:tcPr>
            <w:tcW w:w="2210" w:type="dxa"/>
            <w:gridSpan w:val="2"/>
            <w:tcBorders>
              <w:top w:val="single" w:sz="4" w:space="0" w:color="auto"/>
              <w:bottom w:val="single" w:sz="4" w:space="0" w:color="auto"/>
            </w:tcBorders>
            <w:hideMark/>
          </w:tcPr>
          <w:p w14:paraId="2ADF8263" w14:textId="23BE999C" w:rsidR="00BE3E26" w:rsidRPr="00705159" w:rsidRDefault="00BE3E26" w:rsidP="00F36735">
            <w:pPr>
              <w:widowControl/>
              <w:rPr>
                <w:rFonts w:ascii="Times New Roman" w:eastAsia="標楷體" w:hAnsi="Times New Roman" w:cs="Times New Roman"/>
                <w:kern w:val="0"/>
                <w:sz w:val="22"/>
              </w:rPr>
            </w:pPr>
            <w:r w:rsidRPr="00705159">
              <w:rPr>
                <w:rFonts w:ascii="Times New Roman" w:eastAsia="標楷體" w:hAnsi="Times New Roman" w:cs="Times New Roman"/>
                <w:kern w:val="0"/>
                <w:sz w:val="22"/>
              </w:rPr>
              <w:t xml:space="preserve"> </w:t>
            </w:r>
            <w:r w:rsidRPr="00705159">
              <w:rPr>
                <w:rFonts w:ascii="Times New Roman" w:hAnsi="Times New Roman" w:cs="Times New Roman"/>
                <w:sz w:val="22"/>
              </w:rPr>
              <w:t>Type 5</w:t>
            </w:r>
          </w:p>
        </w:tc>
        <w:tc>
          <w:tcPr>
            <w:tcW w:w="561" w:type="dxa"/>
            <w:tcBorders>
              <w:top w:val="single" w:sz="4" w:space="0" w:color="auto"/>
              <w:bottom w:val="single" w:sz="4" w:space="0" w:color="auto"/>
            </w:tcBorders>
            <w:hideMark/>
          </w:tcPr>
          <w:p w14:paraId="5B99D93E" w14:textId="77777777" w:rsidR="00BE3E26" w:rsidRPr="00705159" w:rsidRDefault="00BE3E26" w:rsidP="00F36735">
            <w:pPr>
              <w:widowControl/>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15</w:t>
            </w:r>
          </w:p>
        </w:tc>
        <w:tc>
          <w:tcPr>
            <w:tcW w:w="2812" w:type="dxa"/>
            <w:gridSpan w:val="3"/>
            <w:tcBorders>
              <w:top w:val="single" w:sz="4" w:space="0" w:color="auto"/>
              <w:bottom w:val="single" w:sz="4" w:space="0" w:color="auto"/>
            </w:tcBorders>
            <w:hideMark/>
          </w:tcPr>
          <w:p w14:paraId="38301217"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4.00 ± 0.66</w:t>
            </w:r>
          </w:p>
        </w:tc>
        <w:tc>
          <w:tcPr>
            <w:tcW w:w="3060" w:type="dxa"/>
            <w:gridSpan w:val="2"/>
            <w:tcBorders>
              <w:top w:val="single" w:sz="4" w:space="0" w:color="auto"/>
              <w:bottom w:val="single" w:sz="4" w:space="0" w:color="auto"/>
            </w:tcBorders>
            <w:hideMark/>
          </w:tcPr>
          <w:p w14:paraId="2732CBC8"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3.40 ± 1.06</w:t>
            </w:r>
          </w:p>
        </w:tc>
      </w:tr>
      <w:tr w:rsidR="00BE3E26" w:rsidRPr="00BE3E26" w14:paraId="19883DA9" w14:textId="77777777" w:rsidTr="00BE3E26">
        <w:trPr>
          <w:gridBefore w:val="1"/>
          <w:wBefore w:w="131" w:type="dxa"/>
        </w:trPr>
        <w:tc>
          <w:tcPr>
            <w:tcW w:w="2210" w:type="dxa"/>
            <w:gridSpan w:val="2"/>
            <w:tcBorders>
              <w:top w:val="single" w:sz="4" w:space="0" w:color="auto"/>
              <w:bottom w:val="single" w:sz="4" w:space="0" w:color="auto"/>
            </w:tcBorders>
            <w:hideMark/>
          </w:tcPr>
          <w:p w14:paraId="0DF42555" w14:textId="43AC46DA" w:rsidR="00BE3E26" w:rsidRPr="00705159" w:rsidRDefault="00BE3E26" w:rsidP="00F36735">
            <w:pPr>
              <w:widowControl/>
              <w:rPr>
                <w:rFonts w:ascii="Times New Roman" w:eastAsia="標楷體" w:hAnsi="Times New Roman" w:cs="Times New Roman"/>
                <w:kern w:val="0"/>
                <w:sz w:val="22"/>
              </w:rPr>
            </w:pPr>
            <w:r w:rsidRPr="00705159">
              <w:rPr>
                <w:rFonts w:ascii="Times New Roman" w:eastAsia="標楷體" w:hAnsi="Times New Roman" w:cs="Times New Roman"/>
                <w:kern w:val="0"/>
                <w:sz w:val="22"/>
              </w:rPr>
              <w:t xml:space="preserve"> </w:t>
            </w:r>
            <w:r w:rsidRPr="00705159">
              <w:rPr>
                <w:rFonts w:ascii="Times New Roman" w:hAnsi="Times New Roman" w:cs="Times New Roman"/>
                <w:sz w:val="22"/>
              </w:rPr>
              <w:t>Type 6</w:t>
            </w:r>
          </w:p>
        </w:tc>
        <w:tc>
          <w:tcPr>
            <w:tcW w:w="561" w:type="dxa"/>
            <w:tcBorders>
              <w:top w:val="single" w:sz="4" w:space="0" w:color="auto"/>
              <w:bottom w:val="single" w:sz="4" w:space="0" w:color="auto"/>
            </w:tcBorders>
            <w:hideMark/>
          </w:tcPr>
          <w:p w14:paraId="6A48EE64" w14:textId="77777777" w:rsidR="00BE3E26" w:rsidRPr="00705159" w:rsidRDefault="00BE3E26" w:rsidP="00F36735">
            <w:pPr>
              <w:widowControl/>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7</w:t>
            </w:r>
          </w:p>
        </w:tc>
        <w:tc>
          <w:tcPr>
            <w:tcW w:w="2812" w:type="dxa"/>
            <w:gridSpan w:val="3"/>
            <w:tcBorders>
              <w:top w:val="single" w:sz="4" w:space="0" w:color="auto"/>
              <w:bottom w:val="single" w:sz="4" w:space="0" w:color="auto"/>
            </w:tcBorders>
            <w:hideMark/>
          </w:tcPr>
          <w:p w14:paraId="0AEE5B3B"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4.14 ± 1.22</w:t>
            </w:r>
          </w:p>
        </w:tc>
        <w:tc>
          <w:tcPr>
            <w:tcW w:w="3060" w:type="dxa"/>
            <w:gridSpan w:val="2"/>
            <w:tcBorders>
              <w:top w:val="single" w:sz="4" w:space="0" w:color="auto"/>
              <w:bottom w:val="single" w:sz="4" w:space="0" w:color="auto"/>
            </w:tcBorders>
            <w:hideMark/>
          </w:tcPr>
          <w:p w14:paraId="752EA54C"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3.86 ± 1.07</w:t>
            </w:r>
          </w:p>
        </w:tc>
      </w:tr>
      <w:tr w:rsidR="00BE3E26" w:rsidRPr="00BE3E26" w14:paraId="3E0E2637" w14:textId="77777777" w:rsidTr="00BE3E26">
        <w:trPr>
          <w:gridBefore w:val="1"/>
          <w:wBefore w:w="131" w:type="dxa"/>
        </w:trPr>
        <w:tc>
          <w:tcPr>
            <w:tcW w:w="2210" w:type="dxa"/>
            <w:gridSpan w:val="2"/>
            <w:tcBorders>
              <w:top w:val="single" w:sz="4" w:space="0" w:color="auto"/>
              <w:bottom w:val="single" w:sz="4" w:space="0" w:color="auto"/>
            </w:tcBorders>
            <w:hideMark/>
          </w:tcPr>
          <w:p w14:paraId="1AB24959" w14:textId="489CAE10" w:rsidR="00BE3E26" w:rsidRPr="00705159" w:rsidRDefault="00BE3E26" w:rsidP="00F36735">
            <w:pPr>
              <w:widowControl/>
              <w:rPr>
                <w:rFonts w:ascii="Times New Roman" w:eastAsia="標楷體" w:hAnsi="Times New Roman" w:cs="Times New Roman"/>
                <w:kern w:val="0"/>
                <w:sz w:val="22"/>
              </w:rPr>
            </w:pPr>
            <w:r w:rsidRPr="00705159">
              <w:rPr>
                <w:rFonts w:ascii="Times New Roman" w:eastAsia="標楷體" w:hAnsi="Times New Roman" w:cs="Times New Roman"/>
                <w:kern w:val="0"/>
                <w:sz w:val="22"/>
              </w:rPr>
              <w:t xml:space="preserve"> </w:t>
            </w:r>
            <w:r w:rsidRPr="00705159">
              <w:rPr>
                <w:rFonts w:ascii="Times New Roman" w:hAnsi="Times New Roman" w:cs="Times New Roman"/>
                <w:sz w:val="22"/>
              </w:rPr>
              <w:t>Type 7</w:t>
            </w:r>
          </w:p>
        </w:tc>
        <w:tc>
          <w:tcPr>
            <w:tcW w:w="561" w:type="dxa"/>
            <w:tcBorders>
              <w:top w:val="single" w:sz="4" w:space="0" w:color="auto"/>
              <w:bottom w:val="single" w:sz="4" w:space="0" w:color="auto"/>
            </w:tcBorders>
            <w:hideMark/>
          </w:tcPr>
          <w:p w14:paraId="44B4A3B6" w14:textId="77777777" w:rsidR="00BE3E26" w:rsidRPr="00705159" w:rsidRDefault="00BE3E26" w:rsidP="00F36735">
            <w:pPr>
              <w:widowControl/>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6</w:t>
            </w:r>
          </w:p>
        </w:tc>
        <w:tc>
          <w:tcPr>
            <w:tcW w:w="2812" w:type="dxa"/>
            <w:gridSpan w:val="3"/>
            <w:tcBorders>
              <w:top w:val="single" w:sz="4" w:space="0" w:color="auto"/>
              <w:bottom w:val="single" w:sz="4" w:space="0" w:color="auto"/>
            </w:tcBorders>
            <w:hideMark/>
          </w:tcPr>
          <w:p w14:paraId="60F968CA"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4.17 ± 0.75</w:t>
            </w:r>
          </w:p>
        </w:tc>
        <w:tc>
          <w:tcPr>
            <w:tcW w:w="3060" w:type="dxa"/>
            <w:gridSpan w:val="2"/>
            <w:tcBorders>
              <w:top w:val="single" w:sz="4" w:space="0" w:color="auto"/>
              <w:bottom w:val="single" w:sz="4" w:space="0" w:color="auto"/>
            </w:tcBorders>
            <w:hideMark/>
          </w:tcPr>
          <w:p w14:paraId="5B35E7E5"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2.83 ± 1.17</w:t>
            </w:r>
          </w:p>
        </w:tc>
      </w:tr>
      <w:tr w:rsidR="00BE3E26" w:rsidRPr="00BE3E26" w14:paraId="404CAE34" w14:textId="77777777" w:rsidTr="00BE3E26">
        <w:trPr>
          <w:gridBefore w:val="1"/>
          <w:wBefore w:w="131" w:type="dxa"/>
        </w:trPr>
        <w:tc>
          <w:tcPr>
            <w:tcW w:w="2210" w:type="dxa"/>
            <w:gridSpan w:val="2"/>
            <w:tcBorders>
              <w:top w:val="single" w:sz="4" w:space="0" w:color="auto"/>
              <w:bottom w:val="single" w:sz="4" w:space="0" w:color="auto"/>
            </w:tcBorders>
            <w:hideMark/>
          </w:tcPr>
          <w:p w14:paraId="3FDCE6A5" w14:textId="332B68DC" w:rsidR="00BE3E26" w:rsidRPr="00705159" w:rsidRDefault="00BE3E26" w:rsidP="00F36735">
            <w:pPr>
              <w:widowControl/>
              <w:rPr>
                <w:rFonts w:ascii="Times New Roman" w:eastAsia="標楷體" w:hAnsi="Times New Roman" w:cs="Times New Roman"/>
                <w:kern w:val="0"/>
                <w:sz w:val="22"/>
              </w:rPr>
            </w:pPr>
            <w:r w:rsidRPr="00705159">
              <w:rPr>
                <w:rFonts w:ascii="Times New Roman" w:eastAsia="標楷體" w:hAnsi="Times New Roman" w:cs="Times New Roman"/>
                <w:kern w:val="0"/>
                <w:sz w:val="22"/>
              </w:rPr>
              <w:t xml:space="preserve"> </w:t>
            </w:r>
            <w:r w:rsidRPr="00705159">
              <w:rPr>
                <w:rFonts w:ascii="Times New Roman" w:hAnsi="Times New Roman" w:cs="Times New Roman"/>
                <w:sz w:val="22"/>
              </w:rPr>
              <w:t>Type 8</w:t>
            </w:r>
          </w:p>
        </w:tc>
        <w:tc>
          <w:tcPr>
            <w:tcW w:w="561" w:type="dxa"/>
            <w:tcBorders>
              <w:top w:val="single" w:sz="4" w:space="0" w:color="auto"/>
              <w:bottom w:val="single" w:sz="4" w:space="0" w:color="auto"/>
            </w:tcBorders>
            <w:hideMark/>
          </w:tcPr>
          <w:p w14:paraId="1889198B" w14:textId="77777777" w:rsidR="00BE3E26" w:rsidRPr="00705159" w:rsidRDefault="00BE3E26" w:rsidP="00F36735">
            <w:pPr>
              <w:widowControl/>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4</w:t>
            </w:r>
          </w:p>
        </w:tc>
        <w:tc>
          <w:tcPr>
            <w:tcW w:w="2812" w:type="dxa"/>
            <w:gridSpan w:val="3"/>
            <w:tcBorders>
              <w:top w:val="single" w:sz="4" w:space="0" w:color="auto"/>
              <w:bottom w:val="single" w:sz="4" w:space="0" w:color="auto"/>
            </w:tcBorders>
            <w:hideMark/>
          </w:tcPr>
          <w:p w14:paraId="5EA5958D"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1.75 ± 0.50</w:t>
            </w:r>
          </w:p>
        </w:tc>
        <w:tc>
          <w:tcPr>
            <w:tcW w:w="3060" w:type="dxa"/>
            <w:gridSpan w:val="2"/>
            <w:tcBorders>
              <w:top w:val="single" w:sz="4" w:space="0" w:color="auto"/>
              <w:bottom w:val="single" w:sz="4" w:space="0" w:color="auto"/>
            </w:tcBorders>
            <w:hideMark/>
          </w:tcPr>
          <w:p w14:paraId="11673AEF"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4.75 ± 0.50</w:t>
            </w:r>
          </w:p>
        </w:tc>
      </w:tr>
      <w:tr w:rsidR="00BE3E26" w:rsidRPr="00BE3E26" w14:paraId="0F69E551" w14:textId="77777777" w:rsidTr="00BE3E26">
        <w:trPr>
          <w:gridBefore w:val="1"/>
          <w:wBefore w:w="131" w:type="dxa"/>
        </w:trPr>
        <w:tc>
          <w:tcPr>
            <w:tcW w:w="2210" w:type="dxa"/>
            <w:gridSpan w:val="2"/>
            <w:tcBorders>
              <w:top w:val="single" w:sz="4" w:space="0" w:color="auto"/>
              <w:bottom w:val="single" w:sz="4" w:space="0" w:color="auto"/>
            </w:tcBorders>
            <w:hideMark/>
          </w:tcPr>
          <w:p w14:paraId="58C3D063" w14:textId="17FF6788" w:rsidR="00BE3E26" w:rsidRPr="00705159" w:rsidRDefault="00BE3E26" w:rsidP="00F36735">
            <w:pPr>
              <w:widowControl/>
              <w:rPr>
                <w:rFonts w:ascii="Times New Roman" w:eastAsia="標楷體" w:hAnsi="Times New Roman" w:cs="Times New Roman"/>
                <w:kern w:val="0"/>
                <w:sz w:val="22"/>
              </w:rPr>
            </w:pPr>
            <w:r w:rsidRPr="00705159">
              <w:rPr>
                <w:rFonts w:ascii="Times New Roman" w:eastAsia="標楷體" w:hAnsi="Times New Roman" w:cs="Times New Roman"/>
                <w:kern w:val="0"/>
                <w:sz w:val="22"/>
              </w:rPr>
              <w:t xml:space="preserve"> </w:t>
            </w:r>
            <w:r w:rsidRPr="00705159">
              <w:rPr>
                <w:rFonts w:ascii="Times New Roman" w:hAnsi="Times New Roman" w:cs="Times New Roman"/>
                <w:sz w:val="22"/>
              </w:rPr>
              <w:t>Type 9</w:t>
            </w:r>
          </w:p>
        </w:tc>
        <w:tc>
          <w:tcPr>
            <w:tcW w:w="561" w:type="dxa"/>
            <w:tcBorders>
              <w:top w:val="single" w:sz="4" w:space="0" w:color="auto"/>
              <w:bottom w:val="single" w:sz="4" w:space="0" w:color="auto"/>
            </w:tcBorders>
            <w:hideMark/>
          </w:tcPr>
          <w:p w14:paraId="6B1E5B73" w14:textId="77777777" w:rsidR="00BE3E26" w:rsidRPr="00705159" w:rsidRDefault="00BE3E26" w:rsidP="00F36735">
            <w:pPr>
              <w:widowControl/>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14</w:t>
            </w:r>
          </w:p>
        </w:tc>
        <w:tc>
          <w:tcPr>
            <w:tcW w:w="2812" w:type="dxa"/>
            <w:gridSpan w:val="3"/>
            <w:tcBorders>
              <w:top w:val="single" w:sz="4" w:space="0" w:color="auto"/>
              <w:bottom w:val="single" w:sz="4" w:space="0" w:color="auto"/>
            </w:tcBorders>
            <w:hideMark/>
          </w:tcPr>
          <w:p w14:paraId="06A743CA"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1.64 ± 0.50</w:t>
            </w:r>
          </w:p>
        </w:tc>
        <w:tc>
          <w:tcPr>
            <w:tcW w:w="3060" w:type="dxa"/>
            <w:gridSpan w:val="2"/>
            <w:tcBorders>
              <w:top w:val="single" w:sz="4" w:space="0" w:color="auto"/>
              <w:bottom w:val="single" w:sz="4" w:space="0" w:color="auto"/>
            </w:tcBorders>
            <w:hideMark/>
          </w:tcPr>
          <w:p w14:paraId="59E05D58" w14:textId="77777777" w:rsidR="00BE3E26" w:rsidRPr="00705159" w:rsidRDefault="00BE3E26" w:rsidP="00F36735">
            <w:pPr>
              <w:widowControl/>
              <w:ind w:right="480"/>
              <w:jc w:val="right"/>
              <w:rPr>
                <w:rFonts w:ascii="Times New Roman" w:eastAsia="標楷體" w:hAnsi="Times New Roman" w:cs="Times New Roman"/>
                <w:kern w:val="0"/>
                <w:sz w:val="22"/>
              </w:rPr>
            </w:pPr>
            <w:r w:rsidRPr="00705159">
              <w:rPr>
                <w:rFonts w:ascii="Times New Roman" w:eastAsia="標楷體" w:hAnsi="Times New Roman" w:cs="Times New Roman"/>
                <w:kern w:val="0"/>
                <w:sz w:val="22"/>
              </w:rPr>
              <w:t>4.50 ± 0.52</w:t>
            </w:r>
          </w:p>
        </w:tc>
      </w:tr>
    </w:tbl>
    <w:p w14:paraId="3F221320" w14:textId="77777777" w:rsidR="00BE3E26" w:rsidRPr="00BE3E26" w:rsidRDefault="00BE3E26" w:rsidP="00BE3E26">
      <w:pPr>
        <w:pStyle w:val="1"/>
        <w:spacing w:before="0" w:beforeAutospacing="0" w:after="0" w:afterAutospacing="0"/>
        <w:rPr>
          <w:rFonts w:ascii="Times New Roman" w:hAnsi="Times New Roman" w:cs="Times New Roman"/>
          <w:sz w:val="24"/>
          <w:szCs w:val="24"/>
        </w:rPr>
      </w:pPr>
      <w:r w:rsidRPr="00BE3E26">
        <w:rPr>
          <w:rStyle w:val="a3"/>
          <w:rFonts w:ascii="Times New Roman" w:hAnsi="Times New Roman" w:cs="Times New Roman"/>
          <w:b/>
          <w:bCs/>
          <w:sz w:val="24"/>
          <w:szCs w:val="24"/>
        </w:rPr>
        <w:t>Table Interpretation (Results Text)</w:t>
      </w:r>
    </w:p>
    <w:p w14:paraId="795345B6" w14:textId="77777777" w:rsidR="00AD5B73" w:rsidRDefault="00BE3E26" w:rsidP="00AD5B73">
      <w:pPr>
        <w:pStyle w:val="Web"/>
        <w:spacing w:before="0" w:beforeAutospacing="0" w:after="0" w:afterAutospacing="0"/>
        <w:ind w:firstLineChars="200" w:firstLine="480"/>
        <w:rPr>
          <w:rFonts w:ascii="Times New Roman" w:hAnsi="Times New Roman" w:cs="Times New Roman"/>
        </w:rPr>
      </w:pPr>
      <w:r w:rsidRPr="00BE3E26">
        <w:rPr>
          <w:rFonts w:ascii="Times New Roman" w:hAnsi="Times New Roman" w:cs="Times New Roman"/>
        </w:rPr>
        <w:t>As shown in Table 1, differences in teaching method preferences were observed across personality types. Overall, Types 1, 2, 6, and 7 demonstrated higher mean scores for video-based instruction, whereas Types 8 and 9 showed relatively higher mean scores for stage-based practical instruction. These findings indicate that students with different personality traits exhibit distinct distribution patterns in their preferences for instructional methods.</w:t>
      </w:r>
    </w:p>
    <w:p w14:paraId="78161228" w14:textId="1BE69E4A" w:rsidR="00AD5B73" w:rsidRPr="00AD5B73" w:rsidRDefault="00AD5B73" w:rsidP="00AD5B73">
      <w:pPr>
        <w:pStyle w:val="Web"/>
        <w:spacing w:before="0" w:beforeAutospacing="0" w:after="0" w:afterAutospacing="0"/>
        <w:rPr>
          <w:rFonts w:ascii="Times New Roman" w:hAnsi="Times New Roman" w:cs="Times New Roman"/>
        </w:rPr>
      </w:pPr>
      <w:r w:rsidRPr="00AD5B73">
        <w:rPr>
          <w:rStyle w:val="a3"/>
          <w:rFonts w:ascii="Times New Roman" w:hAnsi="Times New Roman" w:cs="Times New Roman"/>
        </w:rPr>
        <w:t>2. One-Way Analysis of Variance (ANOVA)</w:t>
      </w:r>
    </w:p>
    <w:p w14:paraId="54581011" w14:textId="60080155" w:rsidR="00AD5B73" w:rsidRDefault="00AD5B73" w:rsidP="00705159">
      <w:pPr>
        <w:pStyle w:val="Web"/>
        <w:spacing w:before="0" w:beforeAutospacing="0" w:after="0" w:afterAutospacing="0"/>
        <w:ind w:firstLineChars="200" w:firstLine="480"/>
        <w:rPr>
          <w:rFonts w:ascii="Times New Roman" w:hAnsi="Times New Roman" w:cs="Times New Roman"/>
        </w:rPr>
      </w:pPr>
      <w:r w:rsidRPr="00AD5B73">
        <w:rPr>
          <w:rFonts w:ascii="Times New Roman" w:hAnsi="Times New Roman" w:cs="Times New Roman"/>
        </w:rPr>
        <w:t>To further examine differences in teaching method preferences among students with different personality traits, one-way analysis of variance (ANOVA) was conducted using personality type as the independent variable. Preferences for video-based instruction and stage-based practical instruction were analyzed separately. The results are presented in Table 2.</w:t>
      </w:r>
    </w:p>
    <w:p w14:paraId="7AA662D1" w14:textId="11D46874" w:rsidR="00AD5B73" w:rsidRPr="00AD5B73" w:rsidRDefault="00AD5B73" w:rsidP="00AD5B73">
      <w:pPr>
        <w:pStyle w:val="Web"/>
        <w:spacing w:before="0" w:beforeAutospacing="0" w:after="0" w:afterAutospacing="0"/>
        <w:rPr>
          <w:rFonts w:ascii="Times New Roman" w:hAnsi="Times New Roman" w:cs="Times New Roman"/>
        </w:rPr>
      </w:pPr>
      <w:r w:rsidRPr="00AD5B73">
        <w:rPr>
          <w:rStyle w:val="a3"/>
          <w:rFonts w:ascii="標楷體" w:eastAsia="標楷體" w:hAnsi="標楷體"/>
        </w:rPr>
        <w:t>Table 2</w:t>
      </w:r>
    </w:p>
    <w:p w14:paraId="25301EAD" w14:textId="2E280660" w:rsidR="00AD5B73" w:rsidRPr="00705159" w:rsidRDefault="00AD5B73" w:rsidP="00AD5B73">
      <w:pPr>
        <w:pStyle w:val="Web"/>
        <w:spacing w:before="0" w:beforeAutospacing="0" w:after="0" w:afterAutospacing="0"/>
        <w:rPr>
          <w:rStyle w:val="a3"/>
          <w:rFonts w:ascii="標楷體" w:eastAsia="標楷體" w:hAnsi="標楷體"/>
          <w:b w:val="0"/>
          <w:bCs w:val="0"/>
        </w:rPr>
      </w:pPr>
      <w:r w:rsidRPr="00AD5B73">
        <w:rPr>
          <w:rStyle w:val="a3"/>
          <w:rFonts w:ascii="標楷體" w:eastAsia="標楷體" w:hAnsi="標楷體"/>
          <w:b w:val="0"/>
          <w:bCs w:val="0"/>
        </w:rPr>
        <w:t>One-Way ANOVA of Teaching Method Preferences Across Personality Types</w:t>
      </w:r>
    </w:p>
    <w:p w14:paraId="4DD0711E" w14:textId="650252D2" w:rsidR="00AD5B73" w:rsidRPr="00AD5B73" w:rsidRDefault="00AD5B73" w:rsidP="00AD5B73">
      <w:pPr>
        <w:pStyle w:val="Web"/>
        <w:spacing w:before="0" w:beforeAutospacing="0" w:after="0" w:afterAutospacing="0"/>
        <w:rPr>
          <w:rFonts w:ascii="標楷體" w:eastAsia="標楷體" w:hAnsi="標楷體"/>
        </w:rPr>
      </w:pPr>
      <w:r w:rsidRPr="00AD5B73">
        <w:rPr>
          <w:rFonts w:ascii="標楷體" w:eastAsia="標楷體" w:hAnsi="標楷體"/>
        </w:rPr>
        <w:t>(a) Stage-Based Practical Instruction</w:t>
      </w:r>
    </w:p>
    <w:tbl>
      <w:tblPr>
        <w:tblW w:w="8364"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293"/>
        <w:gridCol w:w="1102"/>
        <w:gridCol w:w="850"/>
        <w:gridCol w:w="1276"/>
        <w:gridCol w:w="992"/>
        <w:gridCol w:w="851"/>
      </w:tblGrid>
      <w:tr w:rsidR="00AD5B73" w:rsidRPr="00AD5B73" w14:paraId="38656C1B" w14:textId="77777777" w:rsidTr="00AD5B73">
        <w:trPr>
          <w:tblHeader/>
          <w:tblCellSpacing w:w="15" w:type="dxa"/>
        </w:trPr>
        <w:tc>
          <w:tcPr>
            <w:tcW w:w="0" w:type="auto"/>
            <w:tcBorders>
              <w:top w:val="nil"/>
              <w:bottom w:val="single" w:sz="4" w:space="0" w:color="auto"/>
            </w:tcBorders>
            <w:vAlign w:val="center"/>
            <w:hideMark/>
          </w:tcPr>
          <w:p w14:paraId="4908FC3A"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lastRenderedPageBreak/>
              <w:t>Source</w:t>
            </w:r>
          </w:p>
        </w:tc>
        <w:tc>
          <w:tcPr>
            <w:tcW w:w="1072" w:type="dxa"/>
            <w:tcBorders>
              <w:top w:val="nil"/>
              <w:bottom w:val="single" w:sz="4" w:space="0" w:color="auto"/>
            </w:tcBorders>
            <w:vAlign w:val="center"/>
            <w:hideMark/>
          </w:tcPr>
          <w:p w14:paraId="78C12930"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SS</w:t>
            </w:r>
          </w:p>
        </w:tc>
        <w:tc>
          <w:tcPr>
            <w:tcW w:w="820" w:type="dxa"/>
            <w:tcBorders>
              <w:top w:val="nil"/>
              <w:bottom w:val="single" w:sz="4" w:space="0" w:color="auto"/>
            </w:tcBorders>
            <w:vAlign w:val="center"/>
            <w:hideMark/>
          </w:tcPr>
          <w:p w14:paraId="25561AC3"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df</w:t>
            </w:r>
          </w:p>
        </w:tc>
        <w:tc>
          <w:tcPr>
            <w:tcW w:w="1246" w:type="dxa"/>
            <w:tcBorders>
              <w:top w:val="nil"/>
              <w:bottom w:val="single" w:sz="4" w:space="0" w:color="auto"/>
            </w:tcBorders>
            <w:vAlign w:val="center"/>
            <w:hideMark/>
          </w:tcPr>
          <w:p w14:paraId="734D7C49"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MS</w:t>
            </w:r>
          </w:p>
        </w:tc>
        <w:tc>
          <w:tcPr>
            <w:tcW w:w="962" w:type="dxa"/>
            <w:tcBorders>
              <w:top w:val="nil"/>
              <w:bottom w:val="single" w:sz="4" w:space="0" w:color="auto"/>
            </w:tcBorders>
            <w:vAlign w:val="center"/>
            <w:hideMark/>
          </w:tcPr>
          <w:p w14:paraId="7EA5E75D"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F</w:t>
            </w:r>
          </w:p>
        </w:tc>
        <w:tc>
          <w:tcPr>
            <w:tcW w:w="806" w:type="dxa"/>
            <w:tcBorders>
              <w:top w:val="nil"/>
              <w:bottom w:val="single" w:sz="4" w:space="0" w:color="auto"/>
            </w:tcBorders>
            <w:vAlign w:val="center"/>
            <w:hideMark/>
          </w:tcPr>
          <w:p w14:paraId="3DA9DBE3"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p</w:t>
            </w:r>
          </w:p>
        </w:tc>
      </w:tr>
      <w:tr w:rsidR="00AD5B73" w:rsidRPr="00AD5B73" w14:paraId="3B026809" w14:textId="77777777" w:rsidTr="00AD5B73">
        <w:trPr>
          <w:tblCellSpacing w:w="15" w:type="dxa"/>
        </w:trPr>
        <w:tc>
          <w:tcPr>
            <w:tcW w:w="0" w:type="auto"/>
            <w:tcBorders>
              <w:top w:val="nil"/>
              <w:bottom w:val="single" w:sz="4" w:space="0" w:color="auto"/>
            </w:tcBorders>
            <w:vAlign w:val="center"/>
            <w:hideMark/>
          </w:tcPr>
          <w:p w14:paraId="25F11D14"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Between groups (Personality Type)</w:t>
            </w:r>
          </w:p>
        </w:tc>
        <w:tc>
          <w:tcPr>
            <w:tcW w:w="1072" w:type="dxa"/>
            <w:tcBorders>
              <w:top w:val="nil"/>
              <w:bottom w:val="single" w:sz="4" w:space="0" w:color="auto"/>
            </w:tcBorders>
            <w:vAlign w:val="center"/>
            <w:hideMark/>
          </w:tcPr>
          <w:p w14:paraId="2DF556DE"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98.853</w:t>
            </w:r>
          </w:p>
        </w:tc>
        <w:tc>
          <w:tcPr>
            <w:tcW w:w="820" w:type="dxa"/>
            <w:tcBorders>
              <w:top w:val="nil"/>
              <w:bottom w:val="single" w:sz="4" w:space="0" w:color="auto"/>
            </w:tcBorders>
            <w:vAlign w:val="center"/>
            <w:hideMark/>
          </w:tcPr>
          <w:p w14:paraId="38124AE1"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8</w:t>
            </w:r>
          </w:p>
        </w:tc>
        <w:tc>
          <w:tcPr>
            <w:tcW w:w="1246" w:type="dxa"/>
            <w:tcBorders>
              <w:top w:val="nil"/>
              <w:bottom w:val="single" w:sz="4" w:space="0" w:color="auto"/>
            </w:tcBorders>
            <w:vAlign w:val="center"/>
            <w:hideMark/>
          </w:tcPr>
          <w:p w14:paraId="30CF777A"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12.357</w:t>
            </w:r>
          </w:p>
        </w:tc>
        <w:tc>
          <w:tcPr>
            <w:tcW w:w="962" w:type="dxa"/>
            <w:tcBorders>
              <w:top w:val="nil"/>
              <w:bottom w:val="single" w:sz="4" w:space="0" w:color="auto"/>
            </w:tcBorders>
            <w:vAlign w:val="center"/>
            <w:hideMark/>
          </w:tcPr>
          <w:p w14:paraId="22273FB7"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17.553</w:t>
            </w:r>
          </w:p>
        </w:tc>
        <w:tc>
          <w:tcPr>
            <w:tcW w:w="806" w:type="dxa"/>
            <w:tcBorders>
              <w:top w:val="nil"/>
              <w:bottom w:val="single" w:sz="4" w:space="0" w:color="auto"/>
            </w:tcBorders>
            <w:vAlign w:val="center"/>
            <w:hideMark/>
          </w:tcPr>
          <w:p w14:paraId="56C41264"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&lt; .001</w:t>
            </w:r>
          </w:p>
        </w:tc>
      </w:tr>
      <w:tr w:rsidR="00AD5B73" w:rsidRPr="00AD5B73" w14:paraId="2EBD42DC" w14:textId="77777777" w:rsidTr="00AD5B73">
        <w:trPr>
          <w:tblCellSpacing w:w="15" w:type="dxa"/>
        </w:trPr>
        <w:tc>
          <w:tcPr>
            <w:tcW w:w="0" w:type="auto"/>
            <w:tcBorders>
              <w:top w:val="nil"/>
              <w:bottom w:val="single" w:sz="4" w:space="0" w:color="auto"/>
            </w:tcBorders>
            <w:vAlign w:val="center"/>
            <w:hideMark/>
          </w:tcPr>
          <w:p w14:paraId="665DF5B6"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Within groups</w:t>
            </w:r>
          </w:p>
        </w:tc>
        <w:tc>
          <w:tcPr>
            <w:tcW w:w="1072" w:type="dxa"/>
            <w:tcBorders>
              <w:top w:val="nil"/>
              <w:bottom w:val="single" w:sz="4" w:space="0" w:color="auto"/>
            </w:tcBorders>
            <w:vAlign w:val="center"/>
            <w:hideMark/>
          </w:tcPr>
          <w:p w14:paraId="3DA83C28"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51.390</w:t>
            </w:r>
          </w:p>
        </w:tc>
        <w:tc>
          <w:tcPr>
            <w:tcW w:w="820" w:type="dxa"/>
            <w:tcBorders>
              <w:top w:val="nil"/>
              <w:bottom w:val="single" w:sz="4" w:space="0" w:color="auto"/>
            </w:tcBorders>
            <w:vAlign w:val="center"/>
            <w:hideMark/>
          </w:tcPr>
          <w:p w14:paraId="7A1899BA"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73</w:t>
            </w:r>
          </w:p>
        </w:tc>
        <w:tc>
          <w:tcPr>
            <w:tcW w:w="1246" w:type="dxa"/>
            <w:tcBorders>
              <w:top w:val="nil"/>
              <w:bottom w:val="single" w:sz="4" w:space="0" w:color="auto"/>
            </w:tcBorders>
            <w:vAlign w:val="center"/>
            <w:hideMark/>
          </w:tcPr>
          <w:p w14:paraId="1CCE748D"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0.704</w:t>
            </w:r>
          </w:p>
        </w:tc>
        <w:tc>
          <w:tcPr>
            <w:tcW w:w="962" w:type="dxa"/>
            <w:tcBorders>
              <w:top w:val="nil"/>
              <w:bottom w:val="single" w:sz="4" w:space="0" w:color="auto"/>
            </w:tcBorders>
            <w:vAlign w:val="center"/>
            <w:hideMark/>
          </w:tcPr>
          <w:p w14:paraId="375A01FE" w14:textId="77777777" w:rsidR="00AD5B73" w:rsidRPr="009E3759" w:rsidRDefault="00AD5B73" w:rsidP="00AD5B73">
            <w:pPr>
              <w:widowControl/>
              <w:jc w:val="center"/>
              <w:rPr>
                <w:rFonts w:ascii="新細明體" w:eastAsia="新細明體" w:hAnsi="新細明體" w:cs="新細明體"/>
                <w:kern w:val="0"/>
                <w:szCs w:val="24"/>
              </w:rPr>
            </w:pPr>
          </w:p>
        </w:tc>
        <w:tc>
          <w:tcPr>
            <w:tcW w:w="806" w:type="dxa"/>
            <w:tcBorders>
              <w:top w:val="nil"/>
              <w:bottom w:val="single" w:sz="4" w:space="0" w:color="auto"/>
            </w:tcBorders>
            <w:vAlign w:val="center"/>
            <w:hideMark/>
          </w:tcPr>
          <w:p w14:paraId="130B2CAA" w14:textId="77777777" w:rsidR="00AD5B73" w:rsidRPr="009E3759" w:rsidRDefault="00AD5B73" w:rsidP="00AD5B73">
            <w:pPr>
              <w:widowControl/>
              <w:jc w:val="center"/>
              <w:rPr>
                <w:rFonts w:ascii="Times New Roman" w:eastAsia="Times New Roman" w:hAnsi="Times New Roman" w:cs="Times New Roman"/>
                <w:kern w:val="0"/>
                <w:sz w:val="20"/>
                <w:szCs w:val="20"/>
              </w:rPr>
            </w:pPr>
          </w:p>
        </w:tc>
      </w:tr>
      <w:tr w:rsidR="00AD5B73" w:rsidRPr="00AD5B73" w14:paraId="16B7B770" w14:textId="77777777" w:rsidTr="00AD5B73">
        <w:trPr>
          <w:tblCellSpacing w:w="15" w:type="dxa"/>
        </w:trPr>
        <w:tc>
          <w:tcPr>
            <w:tcW w:w="0" w:type="auto"/>
            <w:vAlign w:val="center"/>
            <w:hideMark/>
          </w:tcPr>
          <w:p w14:paraId="2DBAC83E"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Total</w:t>
            </w:r>
          </w:p>
        </w:tc>
        <w:tc>
          <w:tcPr>
            <w:tcW w:w="1072" w:type="dxa"/>
            <w:vAlign w:val="center"/>
            <w:hideMark/>
          </w:tcPr>
          <w:p w14:paraId="71A0AF96"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150.244</w:t>
            </w:r>
          </w:p>
        </w:tc>
        <w:tc>
          <w:tcPr>
            <w:tcW w:w="820" w:type="dxa"/>
            <w:vAlign w:val="center"/>
            <w:hideMark/>
          </w:tcPr>
          <w:p w14:paraId="3C7D0F1E" w14:textId="77777777" w:rsidR="00AD5B73" w:rsidRPr="009E3759" w:rsidRDefault="00AD5B73" w:rsidP="00AD5B73">
            <w:pPr>
              <w:widowControl/>
              <w:jc w:val="center"/>
              <w:rPr>
                <w:rFonts w:ascii="新細明體" w:eastAsia="新細明體" w:hAnsi="新細明體" w:cs="新細明體"/>
                <w:kern w:val="0"/>
                <w:szCs w:val="24"/>
              </w:rPr>
            </w:pPr>
            <w:r w:rsidRPr="009E3759">
              <w:rPr>
                <w:rFonts w:ascii="新細明體" w:eastAsia="新細明體" w:hAnsi="新細明體" w:cs="新細明體"/>
                <w:kern w:val="0"/>
                <w:szCs w:val="24"/>
              </w:rPr>
              <w:t>81</w:t>
            </w:r>
          </w:p>
        </w:tc>
        <w:tc>
          <w:tcPr>
            <w:tcW w:w="1246" w:type="dxa"/>
            <w:vAlign w:val="center"/>
            <w:hideMark/>
          </w:tcPr>
          <w:p w14:paraId="24B9D508" w14:textId="77777777" w:rsidR="00AD5B73" w:rsidRPr="009E3759" w:rsidRDefault="00AD5B73" w:rsidP="00AD5B73">
            <w:pPr>
              <w:widowControl/>
              <w:jc w:val="center"/>
              <w:rPr>
                <w:rFonts w:ascii="新細明體" w:eastAsia="新細明體" w:hAnsi="新細明體" w:cs="新細明體"/>
                <w:kern w:val="0"/>
                <w:szCs w:val="24"/>
              </w:rPr>
            </w:pPr>
          </w:p>
        </w:tc>
        <w:tc>
          <w:tcPr>
            <w:tcW w:w="962" w:type="dxa"/>
            <w:vAlign w:val="center"/>
            <w:hideMark/>
          </w:tcPr>
          <w:p w14:paraId="082E534D" w14:textId="77777777" w:rsidR="00AD5B73" w:rsidRPr="009E3759" w:rsidRDefault="00AD5B73" w:rsidP="00AD5B73">
            <w:pPr>
              <w:widowControl/>
              <w:jc w:val="center"/>
              <w:rPr>
                <w:rFonts w:ascii="Times New Roman" w:eastAsia="Times New Roman" w:hAnsi="Times New Roman" w:cs="Times New Roman"/>
                <w:kern w:val="0"/>
                <w:sz w:val="20"/>
                <w:szCs w:val="20"/>
              </w:rPr>
            </w:pPr>
          </w:p>
        </w:tc>
        <w:tc>
          <w:tcPr>
            <w:tcW w:w="806" w:type="dxa"/>
            <w:vAlign w:val="center"/>
            <w:hideMark/>
          </w:tcPr>
          <w:p w14:paraId="743E57B5" w14:textId="77777777" w:rsidR="00AD5B73" w:rsidRPr="009E3759" w:rsidRDefault="00AD5B73" w:rsidP="00AD5B73">
            <w:pPr>
              <w:widowControl/>
              <w:jc w:val="center"/>
              <w:rPr>
                <w:rFonts w:ascii="Times New Roman" w:eastAsia="Times New Roman" w:hAnsi="Times New Roman" w:cs="Times New Roman"/>
                <w:kern w:val="0"/>
                <w:sz w:val="20"/>
                <w:szCs w:val="20"/>
              </w:rPr>
            </w:pPr>
          </w:p>
        </w:tc>
      </w:tr>
    </w:tbl>
    <w:p w14:paraId="42E6BF1E" w14:textId="77777777" w:rsidR="00705159" w:rsidRDefault="00705159" w:rsidP="00AD5B73">
      <w:pPr>
        <w:rPr>
          <w:rFonts w:ascii="Times New Roman" w:hAnsi="Times New Roman" w:cs="Times New Roman"/>
        </w:rPr>
      </w:pPr>
    </w:p>
    <w:p w14:paraId="74A8E953" w14:textId="50896B50" w:rsidR="00A412AD" w:rsidRDefault="00AD5B73" w:rsidP="00AD5B73">
      <w:pPr>
        <w:rPr>
          <w:rFonts w:ascii="Times New Roman" w:hAnsi="Times New Roman" w:cs="Times New Roman"/>
        </w:rPr>
      </w:pPr>
      <w:r w:rsidRPr="00AD5B73">
        <w:rPr>
          <w:rFonts w:ascii="Times New Roman" w:hAnsi="Times New Roman" w:cs="Times New Roman"/>
        </w:rPr>
        <w:t>(b) Video-Based Instruction</w:t>
      </w:r>
    </w:p>
    <w:tbl>
      <w:tblPr>
        <w:tblW w:w="8735"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993"/>
        <w:gridCol w:w="1402"/>
        <w:gridCol w:w="992"/>
        <w:gridCol w:w="80"/>
        <w:gridCol w:w="1054"/>
        <w:gridCol w:w="1128"/>
        <w:gridCol w:w="429"/>
        <w:gridCol w:w="230"/>
        <w:gridCol w:w="427"/>
      </w:tblGrid>
      <w:tr w:rsidR="00AD5B73" w:rsidRPr="00AD5B73" w14:paraId="12F9B0F4" w14:textId="77777777" w:rsidTr="00AD5B73">
        <w:trPr>
          <w:gridAfter w:val="1"/>
          <w:wAfter w:w="382" w:type="dxa"/>
          <w:tblHeader/>
          <w:tblCellSpacing w:w="15" w:type="dxa"/>
        </w:trPr>
        <w:tc>
          <w:tcPr>
            <w:tcW w:w="2948" w:type="dxa"/>
            <w:tcBorders>
              <w:top w:val="nil"/>
              <w:bottom w:val="single" w:sz="4" w:space="0" w:color="auto"/>
            </w:tcBorders>
            <w:vAlign w:val="center"/>
            <w:hideMark/>
          </w:tcPr>
          <w:p w14:paraId="3D87F4C9" w14:textId="77777777" w:rsidR="00AD5B73" w:rsidRPr="00AD5B73" w:rsidRDefault="00AD5B73" w:rsidP="00AD5B73">
            <w:pPr>
              <w:widowControl/>
              <w:jc w:val="center"/>
              <w:rPr>
                <w:rFonts w:ascii="新細明體" w:eastAsia="新細明體" w:hAnsi="新細明體" w:cs="新細明體"/>
                <w:b/>
                <w:bCs/>
                <w:kern w:val="0"/>
                <w:szCs w:val="24"/>
              </w:rPr>
            </w:pPr>
            <w:r w:rsidRPr="00AD5B73">
              <w:rPr>
                <w:rFonts w:ascii="新細明體" w:eastAsia="新細明體" w:hAnsi="新細明體" w:cs="新細明體"/>
                <w:b/>
                <w:bCs/>
                <w:kern w:val="0"/>
                <w:szCs w:val="24"/>
              </w:rPr>
              <w:t>Source</w:t>
            </w:r>
          </w:p>
        </w:tc>
        <w:tc>
          <w:tcPr>
            <w:tcW w:w="1372" w:type="dxa"/>
            <w:tcBorders>
              <w:top w:val="nil"/>
              <w:bottom w:val="single" w:sz="4" w:space="0" w:color="auto"/>
            </w:tcBorders>
            <w:vAlign w:val="center"/>
            <w:hideMark/>
          </w:tcPr>
          <w:p w14:paraId="23C69BBD" w14:textId="77777777" w:rsidR="00AD5B73" w:rsidRPr="00AD5B73" w:rsidRDefault="00AD5B73" w:rsidP="00AD5B73">
            <w:pPr>
              <w:widowControl/>
              <w:jc w:val="center"/>
              <w:rPr>
                <w:rFonts w:ascii="新細明體" w:eastAsia="新細明體" w:hAnsi="新細明體" w:cs="新細明體"/>
                <w:b/>
                <w:bCs/>
                <w:kern w:val="0"/>
                <w:szCs w:val="24"/>
              </w:rPr>
            </w:pPr>
            <w:r w:rsidRPr="00AD5B73">
              <w:rPr>
                <w:rFonts w:ascii="新細明體" w:eastAsia="新細明體" w:hAnsi="新細明體" w:cs="新細明體"/>
                <w:b/>
                <w:bCs/>
                <w:kern w:val="0"/>
                <w:szCs w:val="24"/>
              </w:rPr>
              <w:t>SS</w:t>
            </w:r>
          </w:p>
        </w:tc>
        <w:tc>
          <w:tcPr>
            <w:tcW w:w="962" w:type="dxa"/>
            <w:tcBorders>
              <w:top w:val="nil"/>
              <w:bottom w:val="single" w:sz="4" w:space="0" w:color="auto"/>
            </w:tcBorders>
            <w:vAlign w:val="center"/>
            <w:hideMark/>
          </w:tcPr>
          <w:p w14:paraId="15515789" w14:textId="77777777" w:rsidR="00AD5B73" w:rsidRPr="00AD5B73" w:rsidRDefault="00AD5B73" w:rsidP="00AD5B73">
            <w:pPr>
              <w:widowControl/>
              <w:jc w:val="center"/>
              <w:rPr>
                <w:rFonts w:ascii="新細明體" w:eastAsia="新細明體" w:hAnsi="新細明體" w:cs="新細明體"/>
                <w:b/>
                <w:bCs/>
                <w:kern w:val="0"/>
                <w:szCs w:val="24"/>
              </w:rPr>
            </w:pPr>
            <w:r w:rsidRPr="00AD5B73">
              <w:rPr>
                <w:rFonts w:ascii="新細明體" w:eastAsia="新細明體" w:hAnsi="新細明體" w:cs="新細明體"/>
                <w:b/>
                <w:bCs/>
                <w:kern w:val="0"/>
                <w:szCs w:val="24"/>
              </w:rPr>
              <w:t>df</w:t>
            </w:r>
          </w:p>
        </w:tc>
        <w:tc>
          <w:tcPr>
            <w:tcW w:w="1104" w:type="dxa"/>
            <w:gridSpan w:val="2"/>
            <w:tcBorders>
              <w:top w:val="nil"/>
              <w:bottom w:val="single" w:sz="4" w:space="0" w:color="auto"/>
            </w:tcBorders>
            <w:vAlign w:val="center"/>
            <w:hideMark/>
          </w:tcPr>
          <w:p w14:paraId="6C97ED3F" w14:textId="77777777" w:rsidR="00AD5B73" w:rsidRPr="00AD5B73" w:rsidRDefault="00AD5B73" w:rsidP="00AD5B73">
            <w:pPr>
              <w:widowControl/>
              <w:jc w:val="center"/>
              <w:rPr>
                <w:rFonts w:ascii="新細明體" w:eastAsia="新細明體" w:hAnsi="新細明體" w:cs="新細明體"/>
                <w:b/>
                <w:bCs/>
                <w:kern w:val="0"/>
                <w:szCs w:val="24"/>
              </w:rPr>
            </w:pPr>
            <w:r w:rsidRPr="00AD5B73">
              <w:rPr>
                <w:rFonts w:ascii="新細明體" w:eastAsia="新細明體" w:hAnsi="新細明體" w:cs="新細明體"/>
                <w:b/>
                <w:bCs/>
                <w:kern w:val="0"/>
                <w:szCs w:val="24"/>
              </w:rPr>
              <w:t>MS</w:t>
            </w:r>
          </w:p>
        </w:tc>
        <w:tc>
          <w:tcPr>
            <w:tcW w:w="1098" w:type="dxa"/>
            <w:tcBorders>
              <w:top w:val="nil"/>
              <w:bottom w:val="single" w:sz="4" w:space="0" w:color="auto"/>
            </w:tcBorders>
            <w:vAlign w:val="center"/>
            <w:hideMark/>
          </w:tcPr>
          <w:p w14:paraId="1B7578DC" w14:textId="77777777" w:rsidR="00AD5B73" w:rsidRPr="00AD5B73" w:rsidRDefault="00AD5B73" w:rsidP="00AD5B73">
            <w:pPr>
              <w:widowControl/>
              <w:jc w:val="center"/>
              <w:rPr>
                <w:rFonts w:ascii="新細明體" w:eastAsia="新細明體" w:hAnsi="新細明體" w:cs="新細明體"/>
                <w:b/>
                <w:bCs/>
                <w:kern w:val="0"/>
                <w:szCs w:val="24"/>
              </w:rPr>
            </w:pPr>
            <w:r w:rsidRPr="00AD5B73">
              <w:rPr>
                <w:rFonts w:ascii="新細明體" w:eastAsia="新細明體" w:hAnsi="新細明體" w:cs="新細明體"/>
                <w:b/>
                <w:bCs/>
                <w:kern w:val="0"/>
                <w:szCs w:val="24"/>
              </w:rPr>
              <w:t>F</w:t>
            </w:r>
          </w:p>
        </w:tc>
        <w:tc>
          <w:tcPr>
            <w:tcW w:w="629" w:type="dxa"/>
            <w:gridSpan w:val="2"/>
            <w:tcBorders>
              <w:top w:val="nil"/>
              <w:bottom w:val="single" w:sz="4" w:space="0" w:color="auto"/>
            </w:tcBorders>
            <w:vAlign w:val="center"/>
            <w:hideMark/>
          </w:tcPr>
          <w:p w14:paraId="04AA43DA" w14:textId="77777777" w:rsidR="00AD5B73" w:rsidRPr="00AD5B73" w:rsidRDefault="00AD5B73" w:rsidP="00AD5B73">
            <w:pPr>
              <w:widowControl/>
              <w:jc w:val="center"/>
              <w:rPr>
                <w:rFonts w:ascii="新細明體" w:eastAsia="新細明體" w:hAnsi="新細明體" w:cs="新細明體"/>
                <w:b/>
                <w:bCs/>
                <w:kern w:val="0"/>
                <w:szCs w:val="24"/>
              </w:rPr>
            </w:pPr>
            <w:r w:rsidRPr="00AD5B73">
              <w:rPr>
                <w:rFonts w:ascii="新細明體" w:eastAsia="新細明體" w:hAnsi="新細明體" w:cs="新細明體"/>
                <w:b/>
                <w:bCs/>
                <w:kern w:val="0"/>
                <w:szCs w:val="24"/>
              </w:rPr>
              <w:t>p</w:t>
            </w:r>
          </w:p>
        </w:tc>
      </w:tr>
      <w:tr w:rsidR="00AD5B73" w:rsidRPr="00AD5B73" w14:paraId="60A09A5C" w14:textId="77777777" w:rsidTr="00AD5B73">
        <w:trPr>
          <w:gridAfter w:val="1"/>
          <w:wAfter w:w="382" w:type="dxa"/>
          <w:tblCellSpacing w:w="15" w:type="dxa"/>
        </w:trPr>
        <w:tc>
          <w:tcPr>
            <w:tcW w:w="2948" w:type="dxa"/>
            <w:tcBorders>
              <w:top w:val="nil"/>
              <w:bottom w:val="single" w:sz="4" w:space="0" w:color="auto"/>
            </w:tcBorders>
            <w:vAlign w:val="center"/>
            <w:hideMark/>
          </w:tcPr>
          <w:p w14:paraId="1006414F"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Between groups (Personality Type)</w:t>
            </w:r>
          </w:p>
        </w:tc>
        <w:tc>
          <w:tcPr>
            <w:tcW w:w="1372" w:type="dxa"/>
            <w:tcBorders>
              <w:top w:val="nil"/>
              <w:bottom w:val="single" w:sz="4" w:space="0" w:color="auto"/>
            </w:tcBorders>
            <w:vAlign w:val="center"/>
            <w:hideMark/>
          </w:tcPr>
          <w:p w14:paraId="5B041DCF"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84.790</w:t>
            </w:r>
          </w:p>
        </w:tc>
        <w:tc>
          <w:tcPr>
            <w:tcW w:w="962" w:type="dxa"/>
            <w:tcBorders>
              <w:top w:val="nil"/>
              <w:bottom w:val="single" w:sz="4" w:space="0" w:color="auto"/>
            </w:tcBorders>
            <w:vAlign w:val="center"/>
            <w:hideMark/>
          </w:tcPr>
          <w:p w14:paraId="47F86B2F"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8</w:t>
            </w:r>
          </w:p>
        </w:tc>
        <w:tc>
          <w:tcPr>
            <w:tcW w:w="1104" w:type="dxa"/>
            <w:gridSpan w:val="2"/>
            <w:tcBorders>
              <w:top w:val="nil"/>
              <w:bottom w:val="single" w:sz="4" w:space="0" w:color="auto"/>
            </w:tcBorders>
            <w:vAlign w:val="center"/>
            <w:hideMark/>
          </w:tcPr>
          <w:p w14:paraId="2034D3E0"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10.599</w:t>
            </w:r>
          </w:p>
        </w:tc>
        <w:tc>
          <w:tcPr>
            <w:tcW w:w="1098" w:type="dxa"/>
            <w:tcBorders>
              <w:top w:val="nil"/>
              <w:bottom w:val="single" w:sz="4" w:space="0" w:color="auto"/>
            </w:tcBorders>
            <w:vAlign w:val="center"/>
            <w:hideMark/>
          </w:tcPr>
          <w:p w14:paraId="25B0FE23"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20.685</w:t>
            </w:r>
          </w:p>
        </w:tc>
        <w:tc>
          <w:tcPr>
            <w:tcW w:w="629" w:type="dxa"/>
            <w:gridSpan w:val="2"/>
            <w:tcBorders>
              <w:top w:val="nil"/>
              <w:bottom w:val="single" w:sz="4" w:space="0" w:color="auto"/>
            </w:tcBorders>
            <w:vAlign w:val="center"/>
            <w:hideMark/>
          </w:tcPr>
          <w:p w14:paraId="12123C51"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&lt; .001</w:t>
            </w:r>
          </w:p>
        </w:tc>
      </w:tr>
      <w:tr w:rsidR="00AD5B73" w:rsidRPr="00AD5B73" w14:paraId="5EE7D232" w14:textId="77777777" w:rsidTr="00AD5B73">
        <w:trPr>
          <w:gridAfter w:val="1"/>
          <w:wAfter w:w="382" w:type="dxa"/>
          <w:tblCellSpacing w:w="15" w:type="dxa"/>
        </w:trPr>
        <w:tc>
          <w:tcPr>
            <w:tcW w:w="2948" w:type="dxa"/>
            <w:tcBorders>
              <w:top w:val="nil"/>
              <w:bottom w:val="single" w:sz="4" w:space="0" w:color="auto"/>
            </w:tcBorders>
            <w:vAlign w:val="center"/>
            <w:hideMark/>
          </w:tcPr>
          <w:p w14:paraId="0C4E9856"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Within groups</w:t>
            </w:r>
          </w:p>
        </w:tc>
        <w:tc>
          <w:tcPr>
            <w:tcW w:w="1372" w:type="dxa"/>
            <w:tcBorders>
              <w:top w:val="nil"/>
              <w:bottom w:val="single" w:sz="4" w:space="0" w:color="auto"/>
            </w:tcBorders>
            <w:vAlign w:val="center"/>
            <w:hideMark/>
          </w:tcPr>
          <w:p w14:paraId="3E36D7B6"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37.405</w:t>
            </w:r>
          </w:p>
        </w:tc>
        <w:tc>
          <w:tcPr>
            <w:tcW w:w="962" w:type="dxa"/>
            <w:tcBorders>
              <w:top w:val="nil"/>
              <w:bottom w:val="single" w:sz="4" w:space="0" w:color="auto"/>
            </w:tcBorders>
            <w:vAlign w:val="center"/>
            <w:hideMark/>
          </w:tcPr>
          <w:p w14:paraId="58FE2AFF"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73</w:t>
            </w:r>
          </w:p>
        </w:tc>
        <w:tc>
          <w:tcPr>
            <w:tcW w:w="1104" w:type="dxa"/>
            <w:gridSpan w:val="2"/>
            <w:tcBorders>
              <w:top w:val="nil"/>
              <w:bottom w:val="single" w:sz="4" w:space="0" w:color="auto"/>
            </w:tcBorders>
            <w:vAlign w:val="center"/>
            <w:hideMark/>
          </w:tcPr>
          <w:p w14:paraId="29C45639"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0.512</w:t>
            </w:r>
          </w:p>
        </w:tc>
        <w:tc>
          <w:tcPr>
            <w:tcW w:w="1098" w:type="dxa"/>
            <w:tcBorders>
              <w:top w:val="nil"/>
              <w:bottom w:val="single" w:sz="4" w:space="0" w:color="auto"/>
            </w:tcBorders>
            <w:vAlign w:val="center"/>
            <w:hideMark/>
          </w:tcPr>
          <w:p w14:paraId="6C2C9D86" w14:textId="77777777" w:rsidR="00AD5B73" w:rsidRPr="00AD5B73" w:rsidRDefault="00AD5B73" w:rsidP="00AD5B73">
            <w:pPr>
              <w:widowControl/>
              <w:jc w:val="center"/>
              <w:rPr>
                <w:rFonts w:ascii="新細明體" w:eastAsia="新細明體" w:hAnsi="新細明體" w:cs="新細明體"/>
                <w:kern w:val="0"/>
                <w:szCs w:val="24"/>
              </w:rPr>
            </w:pPr>
          </w:p>
        </w:tc>
        <w:tc>
          <w:tcPr>
            <w:tcW w:w="629" w:type="dxa"/>
            <w:gridSpan w:val="2"/>
            <w:vAlign w:val="center"/>
            <w:hideMark/>
          </w:tcPr>
          <w:p w14:paraId="06A40F33" w14:textId="77777777" w:rsidR="00AD5B73" w:rsidRPr="00AD5B73" w:rsidRDefault="00AD5B73" w:rsidP="00AD5B73">
            <w:pPr>
              <w:widowControl/>
              <w:jc w:val="center"/>
              <w:rPr>
                <w:rFonts w:ascii="Times New Roman" w:eastAsia="Times New Roman" w:hAnsi="Times New Roman" w:cs="Times New Roman"/>
                <w:kern w:val="0"/>
                <w:sz w:val="20"/>
                <w:szCs w:val="20"/>
              </w:rPr>
            </w:pPr>
          </w:p>
        </w:tc>
      </w:tr>
      <w:tr w:rsidR="00AD5B73" w:rsidRPr="00AD5B73" w14:paraId="009AD37B" w14:textId="77777777" w:rsidTr="00AD5B73">
        <w:trPr>
          <w:tblCellSpacing w:w="15" w:type="dxa"/>
        </w:trPr>
        <w:tc>
          <w:tcPr>
            <w:tcW w:w="2948" w:type="dxa"/>
            <w:vAlign w:val="center"/>
            <w:hideMark/>
          </w:tcPr>
          <w:p w14:paraId="7E77AA9E"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Total</w:t>
            </w:r>
          </w:p>
        </w:tc>
        <w:tc>
          <w:tcPr>
            <w:tcW w:w="1372" w:type="dxa"/>
            <w:vAlign w:val="center"/>
            <w:hideMark/>
          </w:tcPr>
          <w:p w14:paraId="4FD96329"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122.195</w:t>
            </w:r>
          </w:p>
        </w:tc>
        <w:tc>
          <w:tcPr>
            <w:tcW w:w="962" w:type="dxa"/>
            <w:vAlign w:val="center"/>
            <w:hideMark/>
          </w:tcPr>
          <w:p w14:paraId="61BE0E29"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81</w:t>
            </w:r>
          </w:p>
        </w:tc>
        <w:tc>
          <w:tcPr>
            <w:tcW w:w="50" w:type="dxa"/>
            <w:vAlign w:val="center"/>
            <w:hideMark/>
          </w:tcPr>
          <w:p w14:paraId="533214CF" w14:textId="77777777" w:rsidR="00AD5B73" w:rsidRPr="00AD5B73" w:rsidRDefault="00AD5B73" w:rsidP="00AD5B73">
            <w:pPr>
              <w:widowControl/>
              <w:jc w:val="center"/>
              <w:rPr>
                <w:rFonts w:ascii="新細明體" w:eastAsia="新細明體" w:hAnsi="新細明體" w:cs="新細明體"/>
                <w:kern w:val="0"/>
                <w:szCs w:val="24"/>
              </w:rPr>
            </w:pPr>
          </w:p>
        </w:tc>
        <w:tc>
          <w:tcPr>
            <w:tcW w:w="2581" w:type="dxa"/>
            <w:gridSpan w:val="3"/>
            <w:vAlign w:val="center"/>
            <w:hideMark/>
          </w:tcPr>
          <w:p w14:paraId="435521D7" w14:textId="77777777" w:rsidR="00AD5B73" w:rsidRPr="00AD5B73" w:rsidRDefault="00AD5B73" w:rsidP="00AD5B73">
            <w:pPr>
              <w:widowControl/>
              <w:jc w:val="center"/>
              <w:rPr>
                <w:rFonts w:ascii="Times New Roman" w:eastAsia="Times New Roman" w:hAnsi="Times New Roman" w:cs="Times New Roman"/>
                <w:kern w:val="0"/>
                <w:sz w:val="20"/>
                <w:szCs w:val="20"/>
              </w:rPr>
            </w:pPr>
          </w:p>
        </w:tc>
        <w:tc>
          <w:tcPr>
            <w:tcW w:w="612" w:type="dxa"/>
            <w:gridSpan w:val="2"/>
            <w:vAlign w:val="center"/>
            <w:hideMark/>
          </w:tcPr>
          <w:p w14:paraId="34000A60" w14:textId="77777777" w:rsidR="00AD5B73" w:rsidRPr="00AD5B73" w:rsidRDefault="00AD5B73" w:rsidP="00AD5B73">
            <w:pPr>
              <w:widowControl/>
              <w:jc w:val="center"/>
              <w:rPr>
                <w:rFonts w:ascii="Times New Roman" w:eastAsia="Times New Roman" w:hAnsi="Times New Roman" w:cs="Times New Roman"/>
                <w:kern w:val="0"/>
                <w:sz w:val="20"/>
                <w:szCs w:val="20"/>
              </w:rPr>
            </w:pPr>
          </w:p>
        </w:tc>
      </w:tr>
    </w:tbl>
    <w:p w14:paraId="578C6867" w14:textId="4B81E894" w:rsidR="00AD5B73" w:rsidRPr="00AD5B73" w:rsidRDefault="00AD5B73" w:rsidP="00AD5B73">
      <w:pPr>
        <w:pStyle w:val="1"/>
        <w:spacing w:before="0" w:beforeAutospacing="0" w:after="0" w:afterAutospacing="0"/>
        <w:rPr>
          <w:rFonts w:ascii="Times New Roman" w:hAnsi="Times New Roman" w:cs="Times New Roman"/>
          <w:sz w:val="24"/>
          <w:szCs w:val="24"/>
        </w:rPr>
      </w:pPr>
      <w:r>
        <w:rPr>
          <w:rStyle w:val="a3"/>
          <w:rFonts w:ascii="Times New Roman" w:hAnsi="Times New Roman" w:cs="Times New Roman"/>
          <w:b/>
          <w:bCs/>
          <w:sz w:val="24"/>
          <w:szCs w:val="24"/>
        </w:rPr>
        <w:t>R</w:t>
      </w:r>
      <w:r w:rsidRPr="00AD5B73">
        <w:rPr>
          <w:rStyle w:val="a3"/>
          <w:rFonts w:ascii="Times New Roman" w:hAnsi="Times New Roman" w:cs="Times New Roman"/>
          <w:b/>
          <w:bCs/>
          <w:sz w:val="24"/>
          <w:szCs w:val="24"/>
        </w:rPr>
        <w:t>esults Interpretation</w:t>
      </w:r>
    </w:p>
    <w:p w14:paraId="408E1920" w14:textId="77777777" w:rsidR="00AD5B73" w:rsidRPr="00AD5B73" w:rsidRDefault="00AD5B73" w:rsidP="00AD5B73">
      <w:pPr>
        <w:pStyle w:val="Web"/>
        <w:spacing w:before="0" w:beforeAutospacing="0" w:after="0" w:afterAutospacing="0"/>
        <w:ind w:firstLineChars="200" w:firstLine="480"/>
        <w:rPr>
          <w:rFonts w:ascii="Times New Roman" w:hAnsi="Times New Roman" w:cs="Times New Roman"/>
        </w:rPr>
      </w:pPr>
      <w:r w:rsidRPr="00AD5B73">
        <w:rPr>
          <w:rFonts w:ascii="Times New Roman" w:hAnsi="Times New Roman" w:cs="Times New Roman"/>
        </w:rPr>
        <w:t xml:space="preserve">As shown in Table 2, the results of the one-way ANOVA revealed significant differences in teaching method preferences among students with different personality types. Specifically, significant differences were found in preferences for stage-based practical instruction, </w:t>
      </w:r>
      <w:proofErr w:type="gramStart"/>
      <w:r w:rsidRPr="00AD5B73">
        <w:rPr>
          <w:rFonts w:ascii="Times New Roman" w:hAnsi="Times New Roman" w:cs="Times New Roman"/>
        </w:rPr>
        <w:t>F(</w:t>
      </w:r>
      <w:proofErr w:type="gramEnd"/>
      <w:r w:rsidRPr="00AD5B73">
        <w:rPr>
          <w:rFonts w:ascii="Times New Roman" w:hAnsi="Times New Roman" w:cs="Times New Roman"/>
        </w:rPr>
        <w:t>8, 73) = 17.553, p &lt; .001, as well as in preferences for video-based instruction, F(8, 73) = 20.685, p &lt; .001. These findings indicate that personality traits have a significant influence on students’ preferences for instructional methods.</w:t>
      </w:r>
    </w:p>
    <w:p w14:paraId="6D528AAF" w14:textId="77777777" w:rsidR="00AD5B73" w:rsidRDefault="00AD5B73" w:rsidP="00AD5B73">
      <w:pPr>
        <w:pStyle w:val="Web"/>
        <w:spacing w:before="0" w:beforeAutospacing="0" w:after="0" w:afterAutospacing="0"/>
        <w:ind w:firstLineChars="200" w:firstLine="480"/>
        <w:rPr>
          <w:rFonts w:ascii="Times New Roman" w:hAnsi="Times New Roman" w:cs="Times New Roman"/>
        </w:rPr>
      </w:pPr>
      <w:r w:rsidRPr="00AD5B73">
        <w:rPr>
          <w:rFonts w:ascii="Times New Roman" w:hAnsi="Times New Roman" w:cs="Times New Roman"/>
        </w:rPr>
        <w:t>For video-based instruction, significant differences were observed between Types 1–7 and Types 8 and 9. For stage-based practical instruction, significant differences were found between Type 1 and Types 5, 6, 8, and 9, as well as between Type 2 and Types 5, 6, 7, 8, and 9. In addition, significant differences were identified between Type 3 and Types 5, 6, 8, and 9, and between Type 4 and Types 5, 6, 8, and 9. These results suggest that clear distinctions exist among personality types in their preferences for teaching methods.</w:t>
      </w:r>
    </w:p>
    <w:p w14:paraId="5AB9C2BC" w14:textId="468166D3" w:rsidR="00AD5B73" w:rsidRPr="00AD5B73" w:rsidRDefault="00AD5B73" w:rsidP="00AD5B73">
      <w:pPr>
        <w:pStyle w:val="Web"/>
        <w:spacing w:before="0" w:beforeAutospacing="0" w:after="0" w:afterAutospacing="0"/>
        <w:rPr>
          <w:rFonts w:ascii="Times New Roman" w:hAnsi="Times New Roman" w:cs="Times New Roman"/>
        </w:rPr>
      </w:pPr>
      <w:r w:rsidRPr="00AD5B73">
        <w:rPr>
          <w:rStyle w:val="a3"/>
          <w:rFonts w:ascii="Times New Roman" w:hAnsi="Times New Roman" w:cs="Times New Roman"/>
        </w:rPr>
        <w:t>3. Paired-Samples t-Test Analysis</w:t>
      </w:r>
    </w:p>
    <w:p w14:paraId="15F58C5E" w14:textId="77777777" w:rsidR="00AD5B73" w:rsidRDefault="00AD5B73" w:rsidP="00AD5B73">
      <w:pPr>
        <w:pStyle w:val="Web"/>
        <w:spacing w:before="0" w:beforeAutospacing="0" w:after="0" w:afterAutospacing="0"/>
        <w:ind w:firstLineChars="200" w:firstLine="480"/>
        <w:rPr>
          <w:rFonts w:ascii="Times New Roman" w:hAnsi="Times New Roman" w:cs="Times New Roman"/>
        </w:rPr>
      </w:pPr>
      <w:r w:rsidRPr="00AD5B73">
        <w:rPr>
          <w:rFonts w:ascii="Times New Roman" w:hAnsi="Times New Roman" w:cs="Times New Roman"/>
        </w:rPr>
        <w:t>To compare overall differences in teaching method preferences within the sample, a paired-samples t-test was conducted to examine the mean differences between preferences for video-based instruction and stage-based practical instruction. The results are presented in Table 3.</w:t>
      </w:r>
    </w:p>
    <w:p w14:paraId="20B6DB24" w14:textId="74B27A48" w:rsidR="00AD5B73" w:rsidRPr="00AD5B73" w:rsidRDefault="00AD5B73" w:rsidP="00AD5B73">
      <w:pPr>
        <w:pStyle w:val="Web"/>
        <w:spacing w:before="0" w:beforeAutospacing="0" w:after="0" w:afterAutospacing="0"/>
        <w:rPr>
          <w:rFonts w:ascii="Times New Roman" w:hAnsi="Times New Roman" w:cs="Times New Roman"/>
        </w:rPr>
      </w:pPr>
      <w:r w:rsidRPr="00AD5B73">
        <w:rPr>
          <w:rStyle w:val="a3"/>
          <w:rFonts w:ascii="Times New Roman" w:hAnsi="Times New Roman" w:cs="Times New Roman"/>
        </w:rPr>
        <w:t>Table 3</w:t>
      </w:r>
    </w:p>
    <w:p w14:paraId="227B7133" w14:textId="293EC0AF" w:rsidR="00AD5B73" w:rsidRPr="00705159" w:rsidRDefault="00AD5B73" w:rsidP="00AD5B73">
      <w:pPr>
        <w:pStyle w:val="Web"/>
        <w:spacing w:before="0" w:beforeAutospacing="0" w:after="0" w:afterAutospacing="0"/>
        <w:rPr>
          <w:rFonts w:ascii="Times New Roman" w:hAnsi="Times New Roman" w:cs="Times New Roman"/>
          <w:b/>
          <w:bCs/>
        </w:rPr>
      </w:pPr>
      <w:r w:rsidRPr="00AD5B73">
        <w:rPr>
          <w:rStyle w:val="a3"/>
          <w:rFonts w:ascii="Times New Roman" w:hAnsi="Times New Roman" w:cs="Times New Roman"/>
        </w:rPr>
        <w:t>Paired-Samples t-Test of Teaching Method Preferences</w:t>
      </w:r>
    </w:p>
    <w:tbl>
      <w:tblPr>
        <w:tblW w:w="0" w:type="auto"/>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402"/>
        <w:gridCol w:w="1134"/>
        <w:gridCol w:w="993"/>
        <w:gridCol w:w="1134"/>
        <w:gridCol w:w="850"/>
        <w:gridCol w:w="709"/>
      </w:tblGrid>
      <w:tr w:rsidR="00AD5B73" w:rsidRPr="00AD5B73" w14:paraId="65BD028E" w14:textId="77777777" w:rsidTr="00AD5B73">
        <w:trPr>
          <w:tblHeader/>
          <w:tblCellSpacing w:w="15" w:type="dxa"/>
          <w:jc w:val="center"/>
        </w:trPr>
        <w:tc>
          <w:tcPr>
            <w:tcW w:w="3357" w:type="dxa"/>
            <w:tcBorders>
              <w:top w:val="nil"/>
              <w:bottom w:val="single" w:sz="4" w:space="0" w:color="auto"/>
            </w:tcBorders>
            <w:vAlign w:val="center"/>
            <w:hideMark/>
          </w:tcPr>
          <w:p w14:paraId="4BD11207" w14:textId="77777777" w:rsidR="00AD5B73" w:rsidRPr="00AD5B73" w:rsidRDefault="00AD5B73" w:rsidP="00AD5B73">
            <w:pPr>
              <w:widowControl/>
              <w:jc w:val="center"/>
              <w:rPr>
                <w:rFonts w:ascii="新細明體" w:eastAsia="新細明體" w:hAnsi="新細明體" w:cs="新細明體"/>
                <w:b/>
                <w:bCs/>
                <w:kern w:val="0"/>
                <w:szCs w:val="24"/>
              </w:rPr>
            </w:pPr>
            <w:r w:rsidRPr="00AD5B73">
              <w:rPr>
                <w:rFonts w:ascii="新細明體" w:eastAsia="新細明體" w:hAnsi="新細明體" w:cs="新細明體"/>
                <w:b/>
                <w:bCs/>
                <w:kern w:val="0"/>
                <w:szCs w:val="24"/>
              </w:rPr>
              <w:t>Comparison</w:t>
            </w:r>
          </w:p>
        </w:tc>
        <w:tc>
          <w:tcPr>
            <w:tcW w:w="1104" w:type="dxa"/>
            <w:tcBorders>
              <w:top w:val="nil"/>
              <w:bottom w:val="single" w:sz="4" w:space="0" w:color="auto"/>
            </w:tcBorders>
            <w:vAlign w:val="center"/>
            <w:hideMark/>
          </w:tcPr>
          <w:p w14:paraId="2EAD83A4" w14:textId="77777777" w:rsidR="00AD5B73" w:rsidRPr="00AD5B73" w:rsidRDefault="00AD5B73" w:rsidP="00AD5B73">
            <w:pPr>
              <w:widowControl/>
              <w:jc w:val="center"/>
              <w:rPr>
                <w:rFonts w:ascii="新細明體" w:eastAsia="新細明體" w:hAnsi="新細明體" w:cs="新細明體"/>
                <w:b/>
                <w:bCs/>
                <w:kern w:val="0"/>
                <w:szCs w:val="24"/>
              </w:rPr>
            </w:pPr>
            <w:r w:rsidRPr="00AD5B73">
              <w:rPr>
                <w:rFonts w:ascii="新細明體" w:eastAsia="新細明體" w:hAnsi="新細明體" w:cs="新細明體"/>
                <w:b/>
                <w:bCs/>
                <w:kern w:val="0"/>
                <w:szCs w:val="24"/>
              </w:rPr>
              <w:t>M</w:t>
            </w:r>
          </w:p>
        </w:tc>
        <w:tc>
          <w:tcPr>
            <w:tcW w:w="963" w:type="dxa"/>
            <w:tcBorders>
              <w:top w:val="nil"/>
              <w:bottom w:val="single" w:sz="4" w:space="0" w:color="auto"/>
            </w:tcBorders>
            <w:vAlign w:val="center"/>
            <w:hideMark/>
          </w:tcPr>
          <w:p w14:paraId="519FF009" w14:textId="77777777" w:rsidR="00AD5B73" w:rsidRPr="00AD5B73" w:rsidRDefault="00AD5B73" w:rsidP="00AD5B73">
            <w:pPr>
              <w:widowControl/>
              <w:jc w:val="center"/>
              <w:rPr>
                <w:rFonts w:ascii="新細明體" w:eastAsia="新細明體" w:hAnsi="新細明體" w:cs="新細明體"/>
                <w:b/>
                <w:bCs/>
                <w:kern w:val="0"/>
                <w:szCs w:val="24"/>
              </w:rPr>
            </w:pPr>
            <w:r w:rsidRPr="00AD5B73">
              <w:rPr>
                <w:rFonts w:ascii="新細明體" w:eastAsia="新細明體" w:hAnsi="新細明體" w:cs="新細明體"/>
                <w:b/>
                <w:bCs/>
                <w:kern w:val="0"/>
                <w:szCs w:val="24"/>
              </w:rPr>
              <w:t>SD</w:t>
            </w:r>
          </w:p>
        </w:tc>
        <w:tc>
          <w:tcPr>
            <w:tcW w:w="1104" w:type="dxa"/>
            <w:tcBorders>
              <w:top w:val="nil"/>
              <w:bottom w:val="single" w:sz="4" w:space="0" w:color="auto"/>
            </w:tcBorders>
            <w:vAlign w:val="center"/>
            <w:hideMark/>
          </w:tcPr>
          <w:p w14:paraId="7FC871B7" w14:textId="77777777" w:rsidR="00AD5B73" w:rsidRPr="00AD5B73" w:rsidRDefault="00AD5B73" w:rsidP="00AD5B73">
            <w:pPr>
              <w:widowControl/>
              <w:jc w:val="center"/>
              <w:rPr>
                <w:rFonts w:ascii="新細明體" w:eastAsia="新細明體" w:hAnsi="新細明體" w:cs="新細明體"/>
                <w:b/>
                <w:bCs/>
                <w:kern w:val="0"/>
                <w:szCs w:val="24"/>
              </w:rPr>
            </w:pPr>
            <w:r w:rsidRPr="00AD5B73">
              <w:rPr>
                <w:rFonts w:ascii="新細明體" w:eastAsia="新細明體" w:hAnsi="新細明體" w:cs="新細明體"/>
                <w:b/>
                <w:bCs/>
                <w:kern w:val="0"/>
                <w:szCs w:val="24"/>
              </w:rPr>
              <w:t>t</w:t>
            </w:r>
          </w:p>
        </w:tc>
        <w:tc>
          <w:tcPr>
            <w:tcW w:w="820" w:type="dxa"/>
            <w:tcBorders>
              <w:top w:val="nil"/>
              <w:bottom w:val="single" w:sz="4" w:space="0" w:color="auto"/>
            </w:tcBorders>
            <w:vAlign w:val="center"/>
            <w:hideMark/>
          </w:tcPr>
          <w:p w14:paraId="47BF81A0" w14:textId="77777777" w:rsidR="00AD5B73" w:rsidRPr="00AD5B73" w:rsidRDefault="00AD5B73" w:rsidP="00AD5B73">
            <w:pPr>
              <w:widowControl/>
              <w:jc w:val="center"/>
              <w:rPr>
                <w:rFonts w:ascii="新細明體" w:eastAsia="新細明體" w:hAnsi="新細明體" w:cs="新細明體"/>
                <w:b/>
                <w:bCs/>
                <w:kern w:val="0"/>
                <w:szCs w:val="24"/>
              </w:rPr>
            </w:pPr>
            <w:r w:rsidRPr="00AD5B73">
              <w:rPr>
                <w:rFonts w:ascii="新細明體" w:eastAsia="新細明體" w:hAnsi="新細明體" w:cs="新細明體"/>
                <w:b/>
                <w:bCs/>
                <w:kern w:val="0"/>
                <w:szCs w:val="24"/>
              </w:rPr>
              <w:t>df</w:t>
            </w:r>
          </w:p>
        </w:tc>
        <w:tc>
          <w:tcPr>
            <w:tcW w:w="664" w:type="dxa"/>
            <w:tcBorders>
              <w:top w:val="nil"/>
              <w:bottom w:val="single" w:sz="4" w:space="0" w:color="auto"/>
            </w:tcBorders>
            <w:vAlign w:val="center"/>
            <w:hideMark/>
          </w:tcPr>
          <w:p w14:paraId="18DCB29D" w14:textId="77777777" w:rsidR="00AD5B73" w:rsidRPr="00AD5B73" w:rsidRDefault="00AD5B73" w:rsidP="00AD5B73">
            <w:pPr>
              <w:widowControl/>
              <w:jc w:val="center"/>
              <w:rPr>
                <w:rFonts w:ascii="新細明體" w:eastAsia="新細明體" w:hAnsi="新細明體" w:cs="新細明體"/>
                <w:b/>
                <w:bCs/>
                <w:kern w:val="0"/>
                <w:szCs w:val="24"/>
              </w:rPr>
            </w:pPr>
            <w:r w:rsidRPr="00AD5B73">
              <w:rPr>
                <w:rFonts w:ascii="新細明體" w:eastAsia="新細明體" w:hAnsi="新細明體" w:cs="新細明體"/>
                <w:b/>
                <w:bCs/>
                <w:kern w:val="0"/>
                <w:szCs w:val="24"/>
              </w:rPr>
              <w:t>p</w:t>
            </w:r>
          </w:p>
        </w:tc>
      </w:tr>
      <w:tr w:rsidR="00AD5B73" w:rsidRPr="00AD5B73" w14:paraId="504D8785" w14:textId="77777777" w:rsidTr="00AD5B73">
        <w:trPr>
          <w:tblCellSpacing w:w="15" w:type="dxa"/>
          <w:jc w:val="center"/>
        </w:trPr>
        <w:tc>
          <w:tcPr>
            <w:tcW w:w="3357" w:type="dxa"/>
            <w:tcBorders>
              <w:top w:val="nil"/>
              <w:bottom w:val="single" w:sz="4" w:space="0" w:color="auto"/>
            </w:tcBorders>
            <w:vAlign w:val="center"/>
            <w:hideMark/>
          </w:tcPr>
          <w:p w14:paraId="1F17F368"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Video-Based Instruction</w:t>
            </w:r>
          </w:p>
        </w:tc>
        <w:tc>
          <w:tcPr>
            <w:tcW w:w="1104" w:type="dxa"/>
            <w:tcBorders>
              <w:top w:val="nil"/>
              <w:bottom w:val="single" w:sz="4" w:space="0" w:color="auto"/>
            </w:tcBorders>
            <w:vAlign w:val="center"/>
            <w:hideMark/>
          </w:tcPr>
          <w:p w14:paraId="74E18CE2"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3.56</w:t>
            </w:r>
          </w:p>
        </w:tc>
        <w:tc>
          <w:tcPr>
            <w:tcW w:w="963" w:type="dxa"/>
            <w:tcBorders>
              <w:top w:val="nil"/>
              <w:bottom w:val="single" w:sz="4" w:space="0" w:color="auto"/>
            </w:tcBorders>
            <w:vAlign w:val="center"/>
            <w:hideMark/>
          </w:tcPr>
          <w:p w14:paraId="0BE6AB79"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1.228</w:t>
            </w:r>
          </w:p>
        </w:tc>
        <w:tc>
          <w:tcPr>
            <w:tcW w:w="1104" w:type="dxa"/>
            <w:tcBorders>
              <w:top w:val="nil"/>
              <w:bottom w:val="single" w:sz="4" w:space="0" w:color="auto"/>
            </w:tcBorders>
            <w:vAlign w:val="center"/>
            <w:hideMark/>
          </w:tcPr>
          <w:p w14:paraId="2B4CEDB1" w14:textId="77777777" w:rsidR="00AD5B73" w:rsidRPr="00AD5B73" w:rsidRDefault="00AD5B73" w:rsidP="00AD5B73">
            <w:pPr>
              <w:widowControl/>
              <w:jc w:val="center"/>
              <w:rPr>
                <w:rFonts w:ascii="新細明體" w:eastAsia="新細明體" w:hAnsi="新細明體" w:cs="新細明體"/>
                <w:kern w:val="0"/>
                <w:szCs w:val="24"/>
              </w:rPr>
            </w:pPr>
          </w:p>
        </w:tc>
        <w:tc>
          <w:tcPr>
            <w:tcW w:w="820" w:type="dxa"/>
            <w:tcBorders>
              <w:top w:val="nil"/>
              <w:bottom w:val="single" w:sz="4" w:space="0" w:color="auto"/>
            </w:tcBorders>
            <w:vAlign w:val="center"/>
            <w:hideMark/>
          </w:tcPr>
          <w:p w14:paraId="414763A3" w14:textId="77777777" w:rsidR="00AD5B73" w:rsidRPr="00AD5B73" w:rsidRDefault="00AD5B73" w:rsidP="00AD5B73">
            <w:pPr>
              <w:widowControl/>
              <w:jc w:val="center"/>
              <w:rPr>
                <w:rFonts w:ascii="Times New Roman" w:eastAsia="Times New Roman" w:hAnsi="Times New Roman" w:cs="Times New Roman"/>
                <w:kern w:val="0"/>
                <w:sz w:val="20"/>
                <w:szCs w:val="20"/>
              </w:rPr>
            </w:pPr>
          </w:p>
        </w:tc>
        <w:tc>
          <w:tcPr>
            <w:tcW w:w="664" w:type="dxa"/>
            <w:tcBorders>
              <w:top w:val="nil"/>
              <w:bottom w:val="single" w:sz="4" w:space="0" w:color="auto"/>
            </w:tcBorders>
            <w:vAlign w:val="center"/>
            <w:hideMark/>
          </w:tcPr>
          <w:p w14:paraId="6AC630DD" w14:textId="77777777" w:rsidR="00AD5B73" w:rsidRPr="00AD5B73" w:rsidRDefault="00AD5B73" w:rsidP="00AD5B73">
            <w:pPr>
              <w:widowControl/>
              <w:jc w:val="center"/>
              <w:rPr>
                <w:rFonts w:ascii="Times New Roman" w:eastAsia="Times New Roman" w:hAnsi="Times New Roman" w:cs="Times New Roman"/>
                <w:kern w:val="0"/>
                <w:sz w:val="20"/>
                <w:szCs w:val="20"/>
              </w:rPr>
            </w:pPr>
          </w:p>
        </w:tc>
      </w:tr>
      <w:tr w:rsidR="00AD5B73" w:rsidRPr="00AD5B73" w14:paraId="543D1F45" w14:textId="77777777" w:rsidTr="00AD5B73">
        <w:trPr>
          <w:tblCellSpacing w:w="15" w:type="dxa"/>
          <w:jc w:val="center"/>
        </w:trPr>
        <w:tc>
          <w:tcPr>
            <w:tcW w:w="3357" w:type="dxa"/>
            <w:tcBorders>
              <w:top w:val="nil"/>
              <w:bottom w:val="single" w:sz="4" w:space="0" w:color="auto"/>
            </w:tcBorders>
            <w:vAlign w:val="center"/>
            <w:hideMark/>
          </w:tcPr>
          <w:p w14:paraId="4954CF42"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Stage-Based Practical Instruction</w:t>
            </w:r>
          </w:p>
        </w:tc>
        <w:tc>
          <w:tcPr>
            <w:tcW w:w="1104" w:type="dxa"/>
            <w:tcBorders>
              <w:top w:val="nil"/>
              <w:bottom w:val="single" w:sz="4" w:space="0" w:color="auto"/>
            </w:tcBorders>
            <w:vAlign w:val="center"/>
            <w:hideMark/>
          </w:tcPr>
          <w:p w14:paraId="559FFDED"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3.15</w:t>
            </w:r>
          </w:p>
        </w:tc>
        <w:tc>
          <w:tcPr>
            <w:tcW w:w="963" w:type="dxa"/>
            <w:tcBorders>
              <w:top w:val="nil"/>
              <w:bottom w:val="single" w:sz="4" w:space="0" w:color="auto"/>
            </w:tcBorders>
            <w:vAlign w:val="center"/>
            <w:hideMark/>
          </w:tcPr>
          <w:p w14:paraId="75DD5CF6"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1.362</w:t>
            </w:r>
          </w:p>
        </w:tc>
        <w:tc>
          <w:tcPr>
            <w:tcW w:w="1104" w:type="dxa"/>
            <w:tcBorders>
              <w:top w:val="nil"/>
              <w:bottom w:val="single" w:sz="4" w:space="0" w:color="auto"/>
            </w:tcBorders>
            <w:vAlign w:val="center"/>
            <w:hideMark/>
          </w:tcPr>
          <w:p w14:paraId="484450D6" w14:textId="77777777" w:rsidR="00AD5B73" w:rsidRPr="00AD5B73" w:rsidRDefault="00AD5B73" w:rsidP="00AD5B73">
            <w:pPr>
              <w:widowControl/>
              <w:jc w:val="center"/>
              <w:rPr>
                <w:rFonts w:ascii="新細明體" w:eastAsia="新細明體" w:hAnsi="新細明體" w:cs="新細明體"/>
                <w:kern w:val="0"/>
                <w:szCs w:val="24"/>
              </w:rPr>
            </w:pPr>
          </w:p>
        </w:tc>
        <w:tc>
          <w:tcPr>
            <w:tcW w:w="820" w:type="dxa"/>
            <w:tcBorders>
              <w:top w:val="nil"/>
              <w:bottom w:val="single" w:sz="4" w:space="0" w:color="auto"/>
            </w:tcBorders>
            <w:vAlign w:val="center"/>
            <w:hideMark/>
          </w:tcPr>
          <w:p w14:paraId="7FDE0B2A" w14:textId="77777777" w:rsidR="00AD5B73" w:rsidRPr="00AD5B73" w:rsidRDefault="00AD5B73" w:rsidP="00AD5B73">
            <w:pPr>
              <w:widowControl/>
              <w:jc w:val="center"/>
              <w:rPr>
                <w:rFonts w:ascii="Times New Roman" w:eastAsia="Times New Roman" w:hAnsi="Times New Roman" w:cs="Times New Roman"/>
                <w:kern w:val="0"/>
                <w:sz w:val="20"/>
                <w:szCs w:val="20"/>
              </w:rPr>
            </w:pPr>
          </w:p>
        </w:tc>
        <w:tc>
          <w:tcPr>
            <w:tcW w:w="664" w:type="dxa"/>
            <w:tcBorders>
              <w:top w:val="nil"/>
              <w:bottom w:val="single" w:sz="4" w:space="0" w:color="auto"/>
            </w:tcBorders>
            <w:vAlign w:val="center"/>
            <w:hideMark/>
          </w:tcPr>
          <w:p w14:paraId="045F39E8" w14:textId="77777777" w:rsidR="00AD5B73" w:rsidRPr="00AD5B73" w:rsidRDefault="00AD5B73" w:rsidP="00AD5B73">
            <w:pPr>
              <w:widowControl/>
              <w:jc w:val="center"/>
              <w:rPr>
                <w:rFonts w:ascii="Times New Roman" w:eastAsia="Times New Roman" w:hAnsi="Times New Roman" w:cs="Times New Roman"/>
                <w:kern w:val="0"/>
                <w:sz w:val="20"/>
                <w:szCs w:val="20"/>
              </w:rPr>
            </w:pPr>
          </w:p>
        </w:tc>
      </w:tr>
      <w:tr w:rsidR="00AD5B73" w:rsidRPr="00AD5B73" w14:paraId="3E058B0D" w14:textId="77777777" w:rsidTr="00AD5B73">
        <w:trPr>
          <w:tblCellSpacing w:w="15" w:type="dxa"/>
          <w:jc w:val="center"/>
        </w:trPr>
        <w:tc>
          <w:tcPr>
            <w:tcW w:w="3357" w:type="dxa"/>
            <w:vAlign w:val="center"/>
            <w:hideMark/>
          </w:tcPr>
          <w:p w14:paraId="47E5776D"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Difference (Video – Stage)</w:t>
            </w:r>
          </w:p>
        </w:tc>
        <w:tc>
          <w:tcPr>
            <w:tcW w:w="1104" w:type="dxa"/>
            <w:vAlign w:val="center"/>
            <w:hideMark/>
          </w:tcPr>
          <w:p w14:paraId="492376E0"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0.415</w:t>
            </w:r>
          </w:p>
        </w:tc>
        <w:tc>
          <w:tcPr>
            <w:tcW w:w="963" w:type="dxa"/>
            <w:vAlign w:val="center"/>
            <w:hideMark/>
          </w:tcPr>
          <w:p w14:paraId="709446E3"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2.177</w:t>
            </w:r>
          </w:p>
        </w:tc>
        <w:tc>
          <w:tcPr>
            <w:tcW w:w="1104" w:type="dxa"/>
            <w:vAlign w:val="center"/>
            <w:hideMark/>
          </w:tcPr>
          <w:p w14:paraId="037078AA"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1.725</w:t>
            </w:r>
          </w:p>
        </w:tc>
        <w:tc>
          <w:tcPr>
            <w:tcW w:w="820" w:type="dxa"/>
            <w:vAlign w:val="center"/>
            <w:hideMark/>
          </w:tcPr>
          <w:p w14:paraId="0CD1D186"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81</w:t>
            </w:r>
          </w:p>
        </w:tc>
        <w:tc>
          <w:tcPr>
            <w:tcW w:w="664" w:type="dxa"/>
            <w:vAlign w:val="center"/>
            <w:hideMark/>
          </w:tcPr>
          <w:p w14:paraId="685FCB42" w14:textId="77777777" w:rsidR="00AD5B73" w:rsidRPr="00AD5B73" w:rsidRDefault="00AD5B73" w:rsidP="00AD5B73">
            <w:pPr>
              <w:widowControl/>
              <w:jc w:val="center"/>
              <w:rPr>
                <w:rFonts w:ascii="新細明體" w:eastAsia="新細明體" w:hAnsi="新細明體" w:cs="新細明體"/>
                <w:kern w:val="0"/>
                <w:szCs w:val="24"/>
              </w:rPr>
            </w:pPr>
            <w:r w:rsidRPr="00AD5B73">
              <w:rPr>
                <w:rFonts w:ascii="新細明體" w:eastAsia="新細明體" w:hAnsi="新細明體" w:cs="新細明體"/>
                <w:kern w:val="0"/>
                <w:szCs w:val="24"/>
              </w:rPr>
              <w:t>.088</w:t>
            </w:r>
          </w:p>
        </w:tc>
      </w:tr>
    </w:tbl>
    <w:p w14:paraId="75478A23" w14:textId="77777777" w:rsidR="00AD5B73" w:rsidRPr="00AD5B73" w:rsidRDefault="00AD5B73" w:rsidP="00AD5B73">
      <w:pPr>
        <w:pStyle w:val="1"/>
        <w:spacing w:before="0" w:beforeAutospacing="0" w:after="0" w:afterAutospacing="0"/>
        <w:rPr>
          <w:rFonts w:ascii="Times New Roman" w:hAnsi="Times New Roman" w:cs="Times New Roman"/>
          <w:sz w:val="24"/>
          <w:szCs w:val="24"/>
        </w:rPr>
      </w:pPr>
      <w:r w:rsidRPr="00AD5B73">
        <w:rPr>
          <w:rStyle w:val="a3"/>
          <w:rFonts w:ascii="Times New Roman" w:hAnsi="Times New Roman" w:cs="Times New Roman"/>
          <w:b/>
          <w:bCs/>
          <w:sz w:val="24"/>
          <w:szCs w:val="24"/>
        </w:rPr>
        <w:lastRenderedPageBreak/>
        <w:t>Results Interpretation</w:t>
      </w:r>
    </w:p>
    <w:p w14:paraId="548B5E25" w14:textId="77777777" w:rsidR="00AD5B73" w:rsidRPr="00AD5B73" w:rsidRDefault="00AD5B73" w:rsidP="00AD5B73">
      <w:pPr>
        <w:pStyle w:val="Web"/>
        <w:spacing w:before="0" w:beforeAutospacing="0" w:after="0" w:afterAutospacing="0"/>
        <w:ind w:firstLineChars="200" w:firstLine="480"/>
        <w:rPr>
          <w:rFonts w:ascii="Times New Roman" w:hAnsi="Times New Roman" w:cs="Times New Roman"/>
        </w:rPr>
      </w:pPr>
      <w:r w:rsidRPr="00AD5B73">
        <w:rPr>
          <w:rFonts w:ascii="Times New Roman" w:hAnsi="Times New Roman" w:cs="Times New Roman"/>
        </w:rPr>
        <w:t xml:space="preserve">The results indicate that the mean score for preference toward video-based instruction (M = 3.56, SD = 1.228) was slightly higher than that for stage-based practical instruction (M = 3.15, SD = 1.362), with a mean difference of 0.415. However, this difference did not reach statistical significance, </w:t>
      </w:r>
      <w:proofErr w:type="gramStart"/>
      <w:r w:rsidRPr="00AD5B73">
        <w:rPr>
          <w:rFonts w:ascii="Times New Roman" w:hAnsi="Times New Roman" w:cs="Times New Roman"/>
        </w:rPr>
        <w:t>t(</w:t>
      </w:r>
      <w:proofErr w:type="gramEnd"/>
      <w:r w:rsidRPr="00AD5B73">
        <w:rPr>
          <w:rFonts w:ascii="Times New Roman" w:hAnsi="Times New Roman" w:cs="Times New Roman"/>
        </w:rPr>
        <w:t>81) = 1.725, p = .088.</w:t>
      </w:r>
    </w:p>
    <w:p w14:paraId="01A78DFB" w14:textId="77777777" w:rsidR="00AD5B73" w:rsidRPr="00AD5B73" w:rsidRDefault="00AD5B73" w:rsidP="00F446BE">
      <w:pPr>
        <w:pStyle w:val="Web"/>
        <w:spacing w:before="0" w:beforeAutospacing="0" w:after="0" w:afterAutospacing="0"/>
        <w:ind w:firstLineChars="200" w:firstLine="480"/>
        <w:rPr>
          <w:rFonts w:ascii="Times New Roman" w:hAnsi="Times New Roman" w:cs="Times New Roman"/>
        </w:rPr>
      </w:pPr>
      <w:r w:rsidRPr="00AD5B73">
        <w:rPr>
          <w:rFonts w:ascii="Times New Roman" w:hAnsi="Times New Roman" w:cs="Times New Roman"/>
        </w:rPr>
        <w:t>Further analysis showed that the effect size (Cohen’s d = 0.19) was small. This suggests that although students demonstrated a slightly higher preference for video-based instruction overall, the magnitude of the difference was limited, indicating a relatively low practical impact.</w:t>
      </w:r>
    </w:p>
    <w:p w14:paraId="5EAB2D5C" w14:textId="77777777" w:rsidR="00F446BE" w:rsidRDefault="00AD5B73" w:rsidP="00F446BE">
      <w:pPr>
        <w:pStyle w:val="Web"/>
        <w:spacing w:before="0" w:beforeAutospacing="0" w:after="0" w:afterAutospacing="0"/>
        <w:ind w:firstLineChars="200" w:firstLine="480"/>
        <w:rPr>
          <w:rFonts w:ascii="Times New Roman" w:hAnsi="Times New Roman" w:cs="Times New Roman"/>
        </w:rPr>
      </w:pPr>
      <w:r w:rsidRPr="00AD5B73">
        <w:rPr>
          <w:rFonts w:ascii="Times New Roman" w:hAnsi="Times New Roman" w:cs="Times New Roman"/>
        </w:rPr>
        <w:t>Taken together, these findings suggest that, at the overall level, students’ acceptance of the two instructional formats was relatively balanced. However, when considered alongside the results of the one-way ANOVA, significant differences in preferences were still observed among students with different personality traits. This indicates that overall averages may mask meaningful differences between groups.</w:t>
      </w:r>
    </w:p>
    <w:p w14:paraId="310717D2" w14:textId="0D0D9F76" w:rsidR="00F446BE" w:rsidRPr="00F446BE" w:rsidRDefault="00F446BE" w:rsidP="00F446BE">
      <w:pPr>
        <w:pStyle w:val="Web"/>
        <w:spacing w:before="0" w:beforeAutospacing="0" w:after="0" w:afterAutospacing="0"/>
        <w:rPr>
          <w:rFonts w:ascii="Times New Roman" w:hAnsi="Times New Roman" w:cs="Times New Roman"/>
        </w:rPr>
      </w:pPr>
      <w:r w:rsidRPr="00F446BE">
        <w:rPr>
          <w:rStyle w:val="a3"/>
          <w:rFonts w:ascii="Times New Roman" w:hAnsi="Times New Roman" w:cs="Times New Roman"/>
        </w:rPr>
        <w:t>4. Tukey Post Hoc Analysis</w:t>
      </w:r>
    </w:p>
    <w:p w14:paraId="5B5D7A16" w14:textId="77777777" w:rsidR="00F446BE" w:rsidRDefault="00F446BE" w:rsidP="00F446BE">
      <w:pPr>
        <w:pStyle w:val="Web"/>
        <w:spacing w:before="0" w:beforeAutospacing="0" w:after="0" w:afterAutospacing="0"/>
        <w:rPr>
          <w:rFonts w:ascii="Times New Roman" w:hAnsi="Times New Roman" w:cs="Times New Roman"/>
        </w:rPr>
      </w:pPr>
      <w:r>
        <w:rPr>
          <w:rFonts w:ascii="Times New Roman" w:hAnsi="Times New Roman" w:cs="Times New Roman" w:hint="eastAsia"/>
        </w:rPr>
        <w:t xml:space="preserve">  </w:t>
      </w:r>
      <w:r w:rsidRPr="00F446BE">
        <w:rPr>
          <w:rFonts w:ascii="Times New Roman" w:hAnsi="Times New Roman" w:cs="Times New Roman"/>
        </w:rPr>
        <w:t>To further clarify the sources of differences among personality types, Tukey’s post hoc test was conducted for multiple comparisons. The results are presented in Table 3 and Figure 1.</w:t>
      </w:r>
    </w:p>
    <w:p w14:paraId="37852763" w14:textId="1E0906FA" w:rsidR="00F446BE" w:rsidRPr="00F446BE" w:rsidRDefault="00F446BE" w:rsidP="00F446BE">
      <w:pPr>
        <w:pStyle w:val="Web"/>
        <w:spacing w:before="0" w:beforeAutospacing="0" w:after="0" w:afterAutospacing="0"/>
        <w:rPr>
          <w:rFonts w:ascii="Times New Roman" w:hAnsi="Times New Roman" w:cs="Times New Roman"/>
        </w:rPr>
      </w:pPr>
      <w:r w:rsidRPr="00F446BE">
        <w:rPr>
          <w:rStyle w:val="a3"/>
          <w:rFonts w:ascii="Times New Roman" w:eastAsia="標楷體" w:hAnsi="Times New Roman" w:cs="Times New Roman"/>
        </w:rPr>
        <w:t>Figure 1</w:t>
      </w:r>
    </w:p>
    <w:p w14:paraId="0A44C17B" w14:textId="77777777" w:rsidR="00F446BE" w:rsidRPr="00F446BE" w:rsidRDefault="00F446BE" w:rsidP="00F446BE">
      <w:pPr>
        <w:pStyle w:val="Web"/>
        <w:spacing w:before="0" w:beforeAutospacing="0" w:after="0" w:afterAutospacing="0"/>
        <w:rPr>
          <w:rFonts w:ascii="Times New Roman" w:eastAsia="標楷體" w:hAnsi="Times New Roman" w:cs="Times New Roman"/>
        </w:rPr>
      </w:pPr>
      <w:r w:rsidRPr="00F446BE">
        <w:rPr>
          <w:rStyle w:val="a3"/>
          <w:rFonts w:ascii="Times New Roman" w:eastAsia="標楷體" w:hAnsi="Times New Roman" w:cs="Times New Roman"/>
        </w:rPr>
        <w:t>Tukey Post Hoc Comparison of Teaching Method Preferences Across Personality Types</w:t>
      </w:r>
    </w:p>
    <w:p w14:paraId="761C906F" w14:textId="257CAC09" w:rsidR="00AD5B73" w:rsidRDefault="00F446BE" w:rsidP="00AD5B73">
      <w:pPr>
        <w:rPr>
          <w:rFonts w:ascii="Times New Roman" w:hAnsi="Times New Roman" w:cs="Times New Roman"/>
          <w:szCs w:val="24"/>
        </w:rPr>
      </w:pPr>
      <w:r>
        <w:rPr>
          <w:rFonts w:ascii="Times New Roman" w:eastAsia="標楷體" w:hAnsi="Times New Roman" w:cs="Times New Roman"/>
          <w:noProof/>
        </w:rPr>
        <w:drawing>
          <wp:inline distT="0" distB="0" distL="0" distR="0" wp14:anchorId="5B6E622B" wp14:editId="29FE5D8D">
            <wp:extent cx="5060950" cy="2332579"/>
            <wp:effectExtent l="0" t="0" r="635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9">
                      <a:extLst>
                        <a:ext uri="{28A0092B-C50C-407E-A947-70E740481C1C}">
                          <a14:useLocalDpi xmlns:a14="http://schemas.microsoft.com/office/drawing/2010/main" val="0"/>
                        </a:ext>
                      </a:extLst>
                    </a:blip>
                    <a:stretch>
                      <a:fillRect/>
                    </a:stretch>
                  </pic:blipFill>
                  <pic:spPr>
                    <a:xfrm>
                      <a:off x="0" y="0"/>
                      <a:ext cx="5114533" cy="2357275"/>
                    </a:xfrm>
                    <a:prstGeom prst="rect">
                      <a:avLst/>
                    </a:prstGeom>
                  </pic:spPr>
                </pic:pic>
              </a:graphicData>
            </a:graphic>
          </wp:inline>
        </w:drawing>
      </w:r>
    </w:p>
    <w:p w14:paraId="3CD7001A" w14:textId="77777777" w:rsidR="00F446BE" w:rsidRPr="00F446BE" w:rsidRDefault="00F446BE" w:rsidP="00F446BE">
      <w:pPr>
        <w:pStyle w:val="1"/>
        <w:spacing w:before="0" w:beforeAutospacing="0" w:after="0" w:afterAutospacing="0"/>
        <w:rPr>
          <w:rFonts w:ascii="Times New Roman" w:hAnsi="Times New Roman" w:cs="Times New Roman"/>
          <w:sz w:val="24"/>
          <w:szCs w:val="24"/>
        </w:rPr>
      </w:pPr>
      <w:r w:rsidRPr="00F446BE">
        <w:rPr>
          <w:rStyle w:val="a3"/>
          <w:rFonts w:ascii="Times New Roman" w:hAnsi="Times New Roman" w:cs="Times New Roman"/>
          <w:b/>
          <w:bCs/>
          <w:sz w:val="24"/>
          <w:szCs w:val="24"/>
        </w:rPr>
        <w:t>Figure Interpretation</w:t>
      </w:r>
    </w:p>
    <w:p w14:paraId="1F2BC0A3" w14:textId="366E278E" w:rsidR="00F446BE" w:rsidRPr="00F446BE" w:rsidRDefault="00F446BE" w:rsidP="00F446BE">
      <w:pPr>
        <w:pStyle w:val="Web"/>
        <w:spacing w:before="0" w:beforeAutospacing="0" w:after="0" w:afterAutospacing="0"/>
        <w:rPr>
          <w:rFonts w:ascii="Times New Roman" w:hAnsi="Times New Roman" w:cs="Times New Roman"/>
        </w:rPr>
      </w:pPr>
      <w:r>
        <w:rPr>
          <w:rFonts w:ascii="Times New Roman" w:hAnsi="Times New Roman" w:cs="Times New Roman" w:hint="eastAsia"/>
        </w:rPr>
        <w:t xml:space="preserve">   </w:t>
      </w:r>
      <w:r w:rsidRPr="00F446BE">
        <w:rPr>
          <w:rFonts w:ascii="Times New Roman" w:hAnsi="Times New Roman" w:cs="Times New Roman"/>
        </w:rPr>
        <w:t xml:space="preserve">As illustrated in Figure 1, clear grouping patterns were observed across personality types in terms of preferences for stage-based practical instruction. Types 8 and 9 were clustered in the highest preference group (Group a), indicating a significantly stronger preference for dynamic and interactive teaching methods. In contrast, Types 1, 2, and 4 were located in the lowest preference group (Group c), </w:t>
      </w:r>
      <w:r w:rsidRPr="00F446BE">
        <w:rPr>
          <w:rFonts w:ascii="Times New Roman" w:hAnsi="Times New Roman" w:cs="Times New Roman"/>
        </w:rPr>
        <w:lastRenderedPageBreak/>
        <w:t xml:space="preserve">suggesting a significantly lower preference for stage-based instruction. The remaining personality types (Types 3, 5, 6, and 7) were primarily distributed in intermediate groups (Groups ab or </w:t>
      </w:r>
      <w:proofErr w:type="spellStart"/>
      <w:r w:rsidRPr="00F446BE">
        <w:rPr>
          <w:rFonts w:ascii="Times New Roman" w:hAnsi="Times New Roman" w:cs="Times New Roman"/>
        </w:rPr>
        <w:t>bc</w:t>
      </w:r>
      <w:proofErr w:type="spellEnd"/>
      <w:r w:rsidRPr="00F446BE">
        <w:rPr>
          <w:rFonts w:ascii="Times New Roman" w:hAnsi="Times New Roman" w:cs="Times New Roman"/>
        </w:rPr>
        <w:t>), representing a transitional pattern between high and low preference levels.</w:t>
      </w:r>
    </w:p>
    <w:p w14:paraId="6C89E2DC" w14:textId="3AF05531" w:rsidR="00F446BE" w:rsidRPr="00F446BE" w:rsidRDefault="00F446BE" w:rsidP="00F446BE">
      <w:pPr>
        <w:pStyle w:val="Web"/>
        <w:spacing w:before="0" w:beforeAutospacing="0" w:after="0" w:afterAutospacing="0"/>
        <w:rPr>
          <w:rFonts w:ascii="Times New Roman" w:hAnsi="Times New Roman" w:cs="Times New Roman"/>
        </w:rPr>
      </w:pPr>
      <w:r>
        <w:rPr>
          <w:rFonts w:ascii="Times New Roman" w:hAnsi="Times New Roman" w:cs="Times New Roman" w:hint="eastAsia"/>
        </w:rPr>
        <w:t xml:space="preserve">    </w:t>
      </w:r>
      <w:r w:rsidRPr="00F446BE">
        <w:rPr>
          <w:rFonts w:ascii="Times New Roman" w:hAnsi="Times New Roman" w:cs="Times New Roman"/>
        </w:rPr>
        <w:t>In contrast, an opposite trend was observed for preferences toward video-based instruction. Types 1, 2, 6, and 7 were predominantly categorized in the high-preference group (Group a), indicating a stronger acceptance of static instructional methods. Conversely, Types 8 and 9 were clearly positioned in the lowest preference group (Group c), demonstrating significantly lower preferences for video-based instruction compared to other personality types. The remaining types (Types 3, 4, and 5) were distributed within the intermediate group (Group ab), suggesting a degree of flexibility in their instructional preferences.</w:t>
      </w:r>
    </w:p>
    <w:p w14:paraId="6E68F13C" w14:textId="77777777" w:rsidR="00F446BE" w:rsidRDefault="00F446BE" w:rsidP="00F446BE">
      <w:pPr>
        <w:pStyle w:val="Web"/>
        <w:spacing w:before="0" w:beforeAutospacing="0" w:after="0" w:afterAutospacing="0"/>
        <w:rPr>
          <w:rFonts w:ascii="Times New Roman" w:hAnsi="Times New Roman" w:cs="Times New Roman"/>
        </w:rPr>
      </w:pPr>
      <w:r>
        <w:rPr>
          <w:rFonts w:ascii="Times New Roman" w:hAnsi="Times New Roman" w:cs="Times New Roman" w:hint="eastAsia"/>
        </w:rPr>
        <w:t xml:space="preserve">    </w:t>
      </w:r>
      <w:r w:rsidRPr="00F446BE">
        <w:rPr>
          <w:rFonts w:ascii="Times New Roman" w:hAnsi="Times New Roman" w:cs="Times New Roman"/>
        </w:rPr>
        <w:t>Overall, Figure 1 reveals a pattern of complementary differentiation in preferences for dynamic and static teaching methods across personality types. That is, personality types that favor dynamic instruction tend to exhibit lower preferences for static instruction, and vice versa. These findings further support the alignment between personality traits and learning environments, highlighting the importance of considering individual differences when designing instructional strategies to enhance student engagement and learning outcomes.</w:t>
      </w:r>
    </w:p>
    <w:p w14:paraId="2E3DEC4B" w14:textId="01C14461" w:rsidR="00F446BE" w:rsidRPr="00F446BE" w:rsidRDefault="00F446BE" w:rsidP="00F446BE">
      <w:pPr>
        <w:pStyle w:val="Web"/>
        <w:spacing w:before="0" w:beforeAutospacing="0" w:after="0" w:afterAutospacing="0"/>
        <w:rPr>
          <w:rFonts w:ascii="Times New Roman" w:hAnsi="Times New Roman" w:cs="Times New Roman"/>
        </w:rPr>
      </w:pPr>
      <w:r w:rsidRPr="00F446BE">
        <w:rPr>
          <w:rStyle w:val="a3"/>
          <w:rFonts w:ascii="Times New Roman" w:hAnsi="Times New Roman" w:cs="Times New Roman"/>
        </w:rPr>
        <w:t>Conclusion and Discussion</w:t>
      </w:r>
    </w:p>
    <w:p w14:paraId="189EB797" w14:textId="0411551F" w:rsidR="00F446BE" w:rsidRPr="00F446BE" w:rsidRDefault="00F446BE" w:rsidP="00F446BE">
      <w:pPr>
        <w:pStyle w:val="Web"/>
        <w:spacing w:before="0" w:beforeAutospacing="0" w:after="0" w:afterAutospacing="0"/>
        <w:rPr>
          <w:rFonts w:ascii="Times New Roman" w:hAnsi="Times New Roman" w:cs="Times New Roman"/>
        </w:rPr>
      </w:pPr>
      <w:r>
        <w:rPr>
          <w:rFonts w:ascii="Times New Roman" w:hAnsi="Times New Roman" w:cs="Times New Roman" w:hint="eastAsia"/>
        </w:rPr>
        <w:t xml:space="preserve">    </w:t>
      </w:r>
      <w:r w:rsidRPr="00F446BE">
        <w:rPr>
          <w:rFonts w:ascii="Times New Roman" w:hAnsi="Times New Roman" w:cs="Times New Roman"/>
        </w:rPr>
        <w:t>The purpose of this study was to examine the relationship between junior high school students’ personality traits and their preferences for different teaching methods in performing arts education. The overall findings indicate that students with different personality traits exhibited significant differences in their preferences for both stage-based practical instruction and video-based instruction. This suggests that learning preferences are not random but are systematically associated with students’ internal characteristics. These results are consistent with personality trait theories emphasizing individual differences and align with previous studies indicating that extroverted and action-oriented learners tend to prefer interactive learning environments, whereas introverted and reflective learners are more inclined toward structured instructional settings.</w:t>
      </w:r>
    </w:p>
    <w:p w14:paraId="1BF5D421" w14:textId="063047AC" w:rsidR="00F446BE" w:rsidRPr="00F446BE" w:rsidRDefault="00F446BE" w:rsidP="00F446BE">
      <w:pPr>
        <w:pStyle w:val="Web"/>
        <w:spacing w:before="0" w:beforeAutospacing="0" w:after="0" w:afterAutospacing="0"/>
        <w:rPr>
          <w:rFonts w:ascii="Times New Roman" w:hAnsi="Times New Roman" w:cs="Times New Roman"/>
        </w:rPr>
      </w:pPr>
      <w:r>
        <w:rPr>
          <w:rFonts w:ascii="Times New Roman" w:hAnsi="Times New Roman" w:cs="Times New Roman" w:hint="eastAsia"/>
        </w:rPr>
        <w:t xml:space="preserve">    </w:t>
      </w:r>
      <w:r w:rsidRPr="00F446BE">
        <w:rPr>
          <w:rFonts w:ascii="Times New Roman" w:hAnsi="Times New Roman" w:cs="Times New Roman"/>
        </w:rPr>
        <w:t xml:space="preserve">Regarding the distribution of teaching method preferences across personality types, descriptive statistics and Tukey’s post hoc analysis revealed that Types 8 and 9 demonstrated significantly higher preferences for stage-based practical instruction compared to most other personality types, forming a high-preference group. In contrast, Types 1 and 2 exhibited significantly lower preferences, forming a low-preference group. An opposite pattern was observed for video-based instruction, where Types 1 through 7 generally belonged to the high-preference group, while </w:t>
      </w:r>
      <w:r w:rsidRPr="00F446BE">
        <w:rPr>
          <w:rFonts w:ascii="Times New Roman" w:hAnsi="Times New Roman" w:cs="Times New Roman"/>
        </w:rPr>
        <w:lastRenderedPageBreak/>
        <w:t>Types 8 and 9 showed significantly lower preferences. These findings indicate that personality traits are associated with clearly differentiated grouping patterns in preferences for dynamic and static teaching methods, rather than simple linear differences.</w:t>
      </w:r>
    </w:p>
    <w:p w14:paraId="40D7B946" w14:textId="60435D7E" w:rsidR="00F446BE" w:rsidRPr="00F446BE" w:rsidRDefault="00F446BE" w:rsidP="00F446BE">
      <w:pPr>
        <w:pStyle w:val="Web"/>
        <w:spacing w:before="0" w:beforeAutospacing="0" w:after="0" w:afterAutospacing="0"/>
        <w:rPr>
          <w:rFonts w:ascii="Times New Roman" w:hAnsi="Times New Roman" w:cs="Times New Roman"/>
        </w:rPr>
      </w:pPr>
      <w:r>
        <w:rPr>
          <w:rFonts w:ascii="Times New Roman" w:hAnsi="Times New Roman" w:cs="Times New Roman" w:hint="eastAsia"/>
        </w:rPr>
        <w:t xml:space="preserve">    </w:t>
      </w:r>
      <w:r w:rsidRPr="00F446BE">
        <w:rPr>
          <w:rFonts w:ascii="Times New Roman" w:hAnsi="Times New Roman" w:cs="Times New Roman"/>
        </w:rPr>
        <w:t>Further analysis at the overall sample level using a paired-samples t-test indicated that no significant difference was found between preferences for video-based instruction and stage-based practical instruction. In addition, the effect size (Cohen’s d = 0.19) was small, suggesting that the two instructional approaches were similarly accepted at the overall level. This finding implies that relying solely on overall mean differences may lead to the misconception that no meaningful differences exist between instructional methods. However, when considered alongside the results of the ANOVA and Tukey analyses, it becomes evident that substantial differences exist among personality groups, indicating that overall averages may obscure underlying heterogeneity.</w:t>
      </w:r>
    </w:p>
    <w:p w14:paraId="2EEB909E" w14:textId="02146B47" w:rsidR="00F446BE" w:rsidRPr="00F446BE" w:rsidRDefault="00F446BE" w:rsidP="00F446BE">
      <w:pPr>
        <w:pStyle w:val="Web"/>
        <w:spacing w:before="0" w:beforeAutospacing="0" w:after="0" w:afterAutospacing="0"/>
        <w:rPr>
          <w:rFonts w:ascii="Times New Roman" w:hAnsi="Times New Roman" w:cs="Times New Roman"/>
        </w:rPr>
      </w:pPr>
      <w:r>
        <w:rPr>
          <w:rFonts w:ascii="Times New Roman" w:hAnsi="Times New Roman" w:cs="Times New Roman" w:hint="eastAsia"/>
        </w:rPr>
        <w:t xml:space="preserve">    </w:t>
      </w:r>
      <w:r w:rsidRPr="00F446BE">
        <w:rPr>
          <w:rFonts w:ascii="Times New Roman" w:hAnsi="Times New Roman" w:cs="Times New Roman"/>
        </w:rPr>
        <w:t>From a theoretical perspective, these findings can be interpreted in relation to Experiential Learning Theory. Students who prefer stage-based practical instruction (e.g., Types 8 and 9) tend to favor learning modes involving concrete experience and active experimentation, whereas those who prefer video-based instruction (e.g., Types 1 and 2) are more inclined toward reflective observation and abstract conceptualization. Furthermore, from the perspective of the Big Five personality dimensions, the former group may correspond to higher levels of extraversion and openness, while the latter may align more closely with higher levels of conscientiousness and introversion. This suggests that personality traits not only influence learning preferences but also reflect differences in how learners engage in the process of knowledge construction.</w:t>
      </w:r>
    </w:p>
    <w:p w14:paraId="5378D557" w14:textId="77777777" w:rsidR="00F446BE" w:rsidRDefault="00F446BE" w:rsidP="00F446BE">
      <w:pPr>
        <w:pStyle w:val="Web"/>
        <w:spacing w:before="0" w:beforeAutospacing="0" w:after="0" w:afterAutospacing="0"/>
        <w:rPr>
          <w:rFonts w:ascii="Times New Roman" w:hAnsi="Times New Roman" w:cs="Times New Roman"/>
        </w:rPr>
      </w:pPr>
      <w:r>
        <w:rPr>
          <w:rFonts w:ascii="Times New Roman" w:hAnsi="Times New Roman" w:cs="Times New Roman" w:hint="eastAsia"/>
        </w:rPr>
        <w:t xml:space="preserve">    </w:t>
      </w:r>
      <w:r w:rsidRPr="00F446BE">
        <w:rPr>
          <w:rFonts w:ascii="Times New Roman" w:hAnsi="Times New Roman" w:cs="Times New Roman"/>
        </w:rPr>
        <w:t>In conclusion, the findings of this study reveal a pattern of “balanced overall preference but differentiated individual tendencies” in students’ instructional preferences. That is, while no clear superiority exists between dynamic and static teaching approaches at the overall level, distinct preferences emerge at the individual level across different personality types. These findings have important implications for educational practice, suggesting that teachers should avoid relying on a single instructional approach and instead adopt flexible and diversified teaching strategies to accommodate individual differences and enhance student engagement and learning outcomes.</w:t>
      </w:r>
    </w:p>
    <w:p w14:paraId="02C9B5B4" w14:textId="38A600C8" w:rsidR="00F446BE" w:rsidRPr="00F446BE" w:rsidRDefault="00F446BE" w:rsidP="00F446BE">
      <w:pPr>
        <w:pStyle w:val="Web"/>
        <w:spacing w:before="0" w:beforeAutospacing="0" w:after="0" w:afterAutospacing="0"/>
        <w:rPr>
          <w:rFonts w:ascii="Times New Roman" w:hAnsi="Times New Roman" w:cs="Times New Roman"/>
        </w:rPr>
      </w:pPr>
      <w:r w:rsidRPr="00F446BE">
        <w:rPr>
          <w:rStyle w:val="a3"/>
          <w:rFonts w:ascii="Times New Roman" w:hAnsi="Times New Roman" w:cs="Times New Roman"/>
        </w:rPr>
        <w:t>Recommendations</w:t>
      </w:r>
    </w:p>
    <w:p w14:paraId="46D2886C" w14:textId="70B4BDFC" w:rsidR="00F446BE" w:rsidRPr="0092505C" w:rsidRDefault="00705159" w:rsidP="0092505C">
      <w:pPr>
        <w:pStyle w:val="Web"/>
        <w:spacing w:before="0" w:beforeAutospacing="0" w:after="0" w:afterAutospacing="0"/>
        <w:rPr>
          <w:rFonts w:ascii="Times New Roman" w:hAnsi="Times New Roman" w:cs="Times New Roman"/>
        </w:rPr>
      </w:pPr>
      <w:r>
        <w:rPr>
          <w:rFonts w:ascii="Times New Roman" w:hAnsi="Times New Roman" w:cs="Times New Roman" w:hint="eastAsia"/>
        </w:rPr>
        <w:t xml:space="preserve">  </w:t>
      </w:r>
      <w:r w:rsidRPr="0092505C">
        <w:rPr>
          <w:rFonts w:ascii="Times New Roman" w:hAnsi="Times New Roman" w:cs="Times New Roman"/>
        </w:rPr>
        <w:t xml:space="preserve"> </w:t>
      </w:r>
      <w:r w:rsidR="0092505C" w:rsidRPr="0092505C">
        <w:rPr>
          <w:rFonts w:ascii="Times New Roman" w:hAnsi="Times New Roman" w:cs="Times New Roman"/>
        </w:rPr>
        <w:t xml:space="preserve">Based on the findings of this study, it is recommended that teachers adopt integrated and flexible instructional strategies by combining dynamic and static teaching approaches, such as stage-based activities, interactive tasks, video-based </w:t>
      </w:r>
      <w:r w:rsidR="0092505C" w:rsidRPr="0092505C">
        <w:rPr>
          <w:rFonts w:ascii="Times New Roman" w:hAnsi="Times New Roman" w:cs="Times New Roman"/>
        </w:rPr>
        <w:lastRenderedPageBreak/>
        <w:t>instruction, and lecture-based teaching, in order to accommodate the learning needs of students with different personality traits. Teachers are also encouraged to implement differentiated instruction by identifying students’ characteristics and preferences through classroom observation or simple assessment tools, and by providing varied learning tasks to enhance instructional alignment and learning effectiveness. In addition, flexible grouping and diverse assessment methods (e.g., performance-based assessment, worksheets, learning portfolios, and oral presentations) should be incorporated to comprehensively evaluate students’ learning outcomes and reduce bias from single assessment formats. Furthermore, enhancing students’ learning autonomy by offering multiple participation options (e.g., performing, observing, or analyzing) can improve motivation and engagement. For future research, it is suggested to expand the sample size and research scope, incorporate standardized personality measures for cross-analysis, and employ qualitative methods such as interviews or observations to gain a more comprehensive understanding of students’ learning processes.</w:t>
      </w:r>
    </w:p>
    <w:p w14:paraId="3AE0A6B8" w14:textId="10E76075" w:rsidR="00F446BE" w:rsidRPr="00F446BE" w:rsidRDefault="00F446BE" w:rsidP="00F446BE">
      <w:pPr>
        <w:rPr>
          <w:rFonts w:ascii="Times New Roman" w:hAnsi="Times New Roman" w:cs="Times New Roman"/>
          <w:b/>
          <w:bCs/>
        </w:rPr>
      </w:pPr>
      <w:r w:rsidRPr="00F446BE">
        <w:rPr>
          <w:rFonts w:ascii="Times New Roman" w:hAnsi="Times New Roman" w:cs="Times New Roman"/>
          <w:b/>
          <w:bCs/>
        </w:rPr>
        <w:t>References</w:t>
      </w:r>
    </w:p>
    <w:p w14:paraId="47BBF924" w14:textId="060DC66C" w:rsidR="00F446BE" w:rsidRPr="00F446BE" w:rsidRDefault="00F446BE" w:rsidP="00F446BE">
      <w:pPr>
        <w:widowControl/>
        <w:rPr>
          <w:rFonts w:ascii="Times New Roman" w:eastAsia="新細明體" w:hAnsi="Times New Roman" w:cs="Times New Roman"/>
          <w:i/>
          <w:iCs/>
          <w:kern w:val="0"/>
          <w:szCs w:val="24"/>
        </w:rPr>
      </w:pPr>
      <w:r w:rsidRPr="00F446BE">
        <w:rPr>
          <w:rFonts w:ascii="Times New Roman" w:eastAsia="新細明體" w:hAnsi="Times New Roman" w:cs="Times New Roman"/>
          <w:kern w:val="0"/>
          <w:szCs w:val="24"/>
        </w:rPr>
        <w:t xml:space="preserve">Ministry of Education. (2014). </w:t>
      </w:r>
      <w:r w:rsidRPr="00F446BE">
        <w:rPr>
          <w:rFonts w:ascii="Times New Roman" w:eastAsia="新細明體" w:hAnsi="Times New Roman" w:cs="Times New Roman"/>
          <w:i/>
          <w:iCs/>
          <w:kern w:val="0"/>
          <w:szCs w:val="24"/>
        </w:rPr>
        <w:t xml:space="preserve">Curriculum guidelines of 12-year basic education </w:t>
      </w:r>
    </w:p>
    <w:p w14:paraId="5981C9F7" w14:textId="2D960FA9" w:rsidR="00F446BE" w:rsidRPr="00F446BE" w:rsidRDefault="00F446BE" w:rsidP="00F446BE">
      <w:pPr>
        <w:widowControl/>
        <w:rPr>
          <w:rFonts w:ascii="Times New Roman" w:eastAsia="新細明體" w:hAnsi="Times New Roman" w:cs="Times New Roman"/>
          <w:kern w:val="0"/>
          <w:szCs w:val="24"/>
        </w:rPr>
      </w:pPr>
      <w:r w:rsidRPr="00F446BE">
        <w:rPr>
          <w:rFonts w:ascii="Times New Roman" w:eastAsia="新細明體" w:hAnsi="Times New Roman" w:cs="Times New Roman"/>
          <w:i/>
          <w:iCs/>
          <w:kern w:val="0"/>
          <w:szCs w:val="24"/>
        </w:rPr>
        <w:t xml:space="preserve">    (General guidelines)</w:t>
      </w:r>
      <w:r w:rsidRPr="00F446BE">
        <w:rPr>
          <w:rFonts w:ascii="Times New Roman" w:eastAsia="新細明體" w:hAnsi="Times New Roman" w:cs="Times New Roman"/>
          <w:kern w:val="0"/>
          <w:szCs w:val="24"/>
        </w:rPr>
        <w:t>.</w:t>
      </w:r>
    </w:p>
    <w:p w14:paraId="1151AB3B" w14:textId="77777777" w:rsidR="00F446BE" w:rsidRPr="00F446BE" w:rsidRDefault="00F446BE" w:rsidP="00F446BE">
      <w:pPr>
        <w:widowControl/>
        <w:rPr>
          <w:rFonts w:ascii="Times New Roman" w:eastAsia="新細明體" w:hAnsi="Times New Roman" w:cs="Times New Roman"/>
          <w:kern w:val="0"/>
          <w:szCs w:val="24"/>
        </w:rPr>
      </w:pPr>
      <w:r w:rsidRPr="00F446BE">
        <w:rPr>
          <w:rFonts w:ascii="Times New Roman" w:eastAsia="新細明體" w:hAnsi="Times New Roman" w:cs="Times New Roman"/>
          <w:kern w:val="0"/>
          <w:szCs w:val="24"/>
        </w:rPr>
        <w:t xml:space="preserve">Lin, S.-C. (2005). </w:t>
      </w:r>
      <w:r w:rsidRPr="00F446BE">
        <w:rPr>
          <w:rFonts w:ascii="Times New Roman" w:eastAsia="新細明體" w:hAnsi="Times New Roman" w:cs="Times New Roman"/>
          <w:i/>
          <w:iCs/>
          <w:kern w:val="0"/>
          <w:szCs w:val="24"/>
        </w:rPr>
        <w:t>Educational psychology</w:t>
      </w:r>
      <w:r w:rsidRPr="00F446BE">
        <w:rPr>
          <w:rFonts w:ascii="Times New Roman" w:eastAsia="新細明體" w:hAnsi="Times New Roman" w:cs="Times New Roman"/>
          <w:kern w:val="0"/>
          <w:szCs w:val="24"/>
        </w:rPr>
        <w:t>. Psychological Publishing.</w:t>
      </w:r>
    </w:p>
    <w:p w14:paraId="05229F0C" w14:textId="77777777" w:rsidR="00F446BE" w:rsidRPr="00F446BE" w:rsidRDefault="00F446BE" w:rsidP="00F446BE">
      <w:pPr>
        <w:widowControl/>
        <w:rPr>
          <w:rFonts w:ascii="Times New Roman" w:eastAsia="新細明體" w:hAnsi="Times New Roman" w:cs="Times New Roman"/>
          <w:kern w:val="0"/>
          <w:szCs w:val="24"/>
        </w:rPr>
      </w:pPr>
      <w:r w:rsidRPr="00F446BE">
        <w:rPr>
          <w:rFonts w:ascii="Times New Roman" w:eastAsia="新細明體" w:hAnsi="Times New Roman" w:cs="Times New Roman"/>
          <w:kern w:val="0"/>
          <w:szCs w:val="24"/>
        </w:rPr>
        <w:t xml:space="preserve">Chang, C.-H. (2013). </w:t>
      </w:r>
      <w:r w:rsidRPr="00F446BE">
        <w:rPr>
          <w:rFonts w:ascii="Times New Roman" w:eastAsia="新細明體" w:hAnsi="Times New Roman" w:cs="Times New Roman"/>
          <w:i/>
          <w:iCs/>
          <w:kern w:val="0"/>
          <w:szCs w:val="24"/>
        </w:rPr>
        <w:t>Educational psychology</w:t>
      </w:r>
      <w:r w:rsidRPr="00F446BE">
        <w:rPr>
          <w:rFonts w:ascii="Times New Roman" w:eastAsia="新細明體" w:hAnsi="Times New Roman" w:cs="Times New Roman"/>
          <w:kern w:val="0"/>
          <w:szCs w:val="24"/>
        </w:rPr>
        <w:t>. Tung Hua Book.</w:t>
      </w:r>
    </w:p>
    <w:p w14:paraId="3ABA6D5E"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Allport, G. W. (1937). </w:t>
      </w:r>
      <w:r w:rsidRPr="00F446BE">
        <w:rPr>
          <w:rFonts w:ascii="Times New Roman" w:eastAsia="標楷體" w:hAnsi="Times New Roman" w:cs="Times New Roman"/>
          <w:i/>
          <w:iCs/>
          <w:kern w:val="0"/>
          <w:szCs w:val="24"/>
        </w:rPr>
        <w:t>Personality: A psychological interpretation</w:t>
      </w:r>
      <w:r w:rsidRPr="00F446BE">
        <w:rPr>
          <w:rFonts w:ascii="Times New Roman" w:eastAsia="標楷體" w:hAnsi="Times New Roman" w:cs="Times New Roman"/>
          <w:kern w:val="0"/>
          <w:szCs w:val="24"/>
        </w:rPr>
        <w:t>. Holt.</w:t>
      </w:r>
    </w:p>
    <w:p w14:paraId="1D027AE7"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Balliett, L. D. (1915). </w:t>
      </w:r>
      <w:r w:rsidRPr="00F446BE">
        <w:rPr>
          <w:rFonts w:ascii="Times New Roman" w:eastAsia="標楷體" w:hAnsi="Times New Roman" w:cs="Times New Roman"/>
          <w:i/>
          <w:iCs/>
          <w:kern w:val="0"/>
          <w:szCs w:val="24"/>
        </w:rPr>
        <w:t>The voice of the numbers</w:t>
      </w:r>
      <w:r w:rsidRPr="00F446BE">
        <w:rPr>
          <w:rFonts w:ascii="Times New Roman" w:eastAsia="標楷體" w:hAnsi="Times New Roman" w:cs="Times New Roman"/>
          <w:kern w:val="0"/>
          <w:szCs w:val="24"/>
        </w:rPr>
        <w:t>. David McKay.</w:t>
      </w:r>
    </w:p>
    <w:p w14:paraId="0331BBE6" w14:textId="77777777" w:rsidR="00F446BE" w:rsidRPr="00F446BE" w:rsidRDefault="00F446BE" w:rsidP="00F446BE">
      <w:pPr>
        <w:widowControl/>
        <w:rPr>
          <w:rFonts w:ascii="Times New Roman" w:eastAsia="標楷體" w:hAnsi="Times New Roman" w:cs="Times New Roman"/>
          <w:i/>
          <w:iCs/>
          <w:kern w:val="0"/>
          <w:szCs w:val="24"/>
        </w:rPr>
      </w:pPr>
      <w:r w:rsidRPr="00F446BE">
        <w:rPr>
          <w:rFonts w:ascii="Times New Roman" w:eastAsia="標楷體" w:hAnsi="Times New Roman" w:cs="Times New Roman"/>
          <w:kern w:val="0"/>
          <w:szCs w:val="24"/>
        </w:rPr>
        <w:t xml:space="preserve">Cain, S. (2012). </w:t>
      </w:r>
      <w:r w:rsidRPr="00F446BE">
        <w:rPr>
          <w:rFonts w:ascii="Times New Roman" w:eastAsia="標楷體" w:hAnsi="Times New Roman" w:cs="Times New Roman"/>
          <w:i/>
          <w:iCs/>
          <w:kern w:val="0"/>
          <w:szCs w:val="24"/>
        </w:rPr>
        <w:t xml:space="preserve">Quiet: The power of introverts in a world that can’t stop </w:t>
      </w:r>
    </w:p>
    <w:p w14:paraId="26022113"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i/>
          <w:iCs/>
          <w:kern w:val="0"/>
          <w:szCs w:val="24"/>
        </w:rPr>
        <w:t xml:space="preserve">    talking</w:t>
      </w:r>
      <w:r w:rsidRPr="00F446BE">
        <w:rPr>
          <w:rFonts w:ascii="Times New Roman" w:eastAsia="標楷體" w:hAnsi="Times New Roman" w:cs="Times New Roman"/>
          <w:kern w:val="0"/>
          <w:szCs w:val="24"/>
        </w:rPr>
        <w:t>. Crown.</w:t>
      </w:r>
    </w:p>
    <w:p w14:paraId="3ABBAA6D"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Campbell, F. (1931). </w:t>
      </w:r>
      <w:r w:rsidRPr="00F446BE">
        <w:rPr>
          <w:rFonts w:ascii="Times New Roman" w:eastAsia="標楷體" w:hAnsi="Times New Roman" w:cs="Times New Roman"/>
          <w:i/>
          <w:iCs/>
          <w:kern w:val="0"/>
          <w:szCs w:val="24"/>
        </w:rPr>
        <w:t>What your birthday reveals</w:t>
      </w:r>
      <w:r w:rsidRPr="00F446BE">
        <w:rPr>
          <w:rFonts w:ascii="Times New Roman" w:eastAsia="標楷體" w:hAnsi="Times New Roman" w:cs="Times New Roman"/>
          <w:kern w:val="0"/>
          <w:szCs w:val="24"/>
        </w:rPr>
        <w:t>. Warner Books.</w:t>
      </w:r>
    </w:p>
    <w:p w14:paraId="4C85DDE1" w14:textId="77777777" w:rsidR="00F446BE" w:rsidRPr="00F446BE" w:rsidRDefault="00F446BE" w:rsidP="00F446BE">
      <w:pPr>
        <w:widowControl/>
        <w:rPr>
          <w:rFonts w:ascii="Times New Roman" w:eastAsia="標楷體" w:hAnsi="Times New Roman" w:cs="Times New Roman"/>
          <w:i/>
          <w:iCs/>
          <w:kern w:val="0"/>
          <w:szCs w:val="24"/>
        </w:rPr>
      </w:pPr>
      <w:r w:rsidRPr="00F446BE">
        <w:rPr>
          <w:rFonts w:ascii="Times New Roman" w:eastAsia="標楷體" w:hAnsi="Times New Roman" w:cs="Times New Roman"/>
          <w:kern w:val="0"/>
          <w:szCs w:val="24"/>
        </w:rPr>
        <w:t xml:space="preserve">Costa, P. T., &amp; McCrae, R. R. (1992). </w:t>
      </w:r>
      <w:r w:rsidRPr="00F446BE">
        <w:rPr>
          <w:rFonts w:ascii="Times New Roman" w:eastAsia="標楷體" w:hAnsi="Times New Roman" w:cs="Times New Roman"/>
          <w:i/>
          <w:iCs/>
          <w:kern w:val="0"/>
          <w:szCs w:val="24"/>
        </w:rPr>
        <w:t>Revised NEO Personality Inventory (NEO-</w:t>
      </w:r>
    </w:p>
    <w:p w14:paraId="469DE91D"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i/>
          <w:iCs/>
          <w:kern w:val="0"/>
          <w:szCs w:val="24"/>
        </w:rPr>
        <w:t xml:space="preserve">    PI-R)</w:t>
      </w:r>
      <w:r w:rsidRPr="00F446BE">
        <w:rPr>
          <w:rFonts w:ascii="Times New Roman" w:eastAsia="標楷體" w:hAnsi="Times New Roman" w:cs="Times New Roman"/>
          <w:kern w:val="0"/>
          <w:szCs w:val="24"/>
        </w:rPr>
        <w:t>. Psychological Assessment Resources.</w:t>
      </w:r>
    </w:p>
    <w:p w14:paraId="3304D859"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Deci, E. L., &amp; Ryan, R. M. (2000). Intrinsic and extrinsic motivations: </w:t>
      </w:r>
    </w:p>
    <w:p w14:paraId="5BECADDD" w14:textId="77777777" w:rsidR="00F446BE" w:rsidRPr="00F446BE" w:rsidRDefault="00F446BE" w:rsidP="00F446BE">
      <w:pPr>
        <w:widowControl/>
        <w:rPr>
          <w:rFonts w:ascii="Times New Roman" w:eastAsia="標楷體" w:hAnsi="Times New Roman" w:cs="Times New Roman"/>
          <w:i/>
          <w:iCs/>
          <w:kern w:val="0"/>
          <w:szCs w:val="24"/>
        </w:rPr>
      </w:pPr>
      <w:r w:rsidRPr="00F446BE">
        <w:rPr>
          <w:rFonts w:ascii="Times New Roman" w:eastAsia="標楷體" w:hAnsi="Times New Roman" w:cs="Times New Roman"/>
          <w:kern w:val="0"/>
          <w:szCs w:val="24"/>
        </w:rPr>
        <w:t xml:space="preserve">    Classic definitions and new directions. </w:t>
      </w:r>
      <w:r w:rsidRPr="00F446BE">
        <w:rPr>
          <w:rFonts w:ascii="Times New Roman" w:eastAsia="標楷體" w:hAnsi="Times New Roman" w:cs="Times New Roman"/>
          <w:i/>
          <w:iCs/>
          <w:kern w:val="0"/>
          <w:szCs w:val="24"/>
        </w:rPr>
        <w:t xml:space="preserve">Contemporary Educational </w:t>
      </w:r>
    </w:p>
    <w:p w14:paraId="21D6E7D4"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i/>
          <w:iCs/>
          <w:kern w:val="0"/>
          <w:szCs w:val="24"/>
        </w:rPr>
        <w:t xml:space="preserve">    Psychology, 25</w:t>
      </w:r>
      <w:r w:rsidRPr="00F446BE">
        <w:rPr>
          <w:rFonts w:ascii="Times New Roman" w:eastAsia="標楷體" w:hAnsi="Times New Roman" w:cs="Times New Roman"/>
          <w:kern w:val="0"/>
          <w:szCs w:val="24"/>
        </w:rPr>
        <w:t>(1), 54–67.</w:t>
      </w:r>
    </w:p>
    <w:p w14:paraId="4C88831C" w14:textId="77777777" w:rsidR="00F446BE" w:rsidRPr="00F446BE" w:rsidRDefault="00F446BE" w:rsidP="00F446BE">
      <w:pPr>
        <w:widowControl/>
        <w:rPr>
          <w:rFonts w:ascii="Times New Roman" w:eastAsia="標楷體" w:hAnsi="Times New Roman" w:cs="Times New Roman"/>
          <w:i/>
          <w:iCs/>
          <w:kern w:val="0"/>
          <w:szCs w:val="24"/>
        </w:rPr>
      </w:pPr>
      <w:r w:rsidRPr="00F446BE">
        <w:rPr>
          <w:rFonts w:ascii="Times New Roman" w:eastAsia="標楷體" w:hAnsi="Times New Roman" w:cs="Times New Roman"/>
          <w:kern w:val="0"/>
          <w:szCs w:val="24"/>
        </w:rPr>
        <w:t xml:space="preserve">Dunn, R., &amp; Dunn, K. (1993). </w:t>
      </w:r>
      <w:r w:rsidRPr="00F446BE">
        <w:rPr>
          <w:rFonts w:ascii="Times New Roman" w:eastAsia="標楷體" w:hAnsi="Times New Roman" w:cs="Times New Roman"/>
          <w:i/>
          <w:iCs/>
          <w:kern w:val="0"/>
          <w:szCs w:val="24"/>
        </w:rPr>
        <w:t xml:space="preserve">Teaching secondary students through </w:t>
      </w:r>
      <w:proofErr w:type="gramStart"/>
      <w:r w:rsidRPr="00F446BE">
        <w:rPr>
          <w:rFonts w:ascii="Times New Roman" w:eastAsia="標楷體" w:hAnsi="Times New Roman" w:cs="Times New Roman"/>
          <w:i/>
          <w:iCs/>
          <w:kern w:val="0"/>
          <w:szCs w:val="24"/>
        </w:rPr>
        <w:t>their</w:t>
      </w:r>
      <w:proofErr w:type="gramEnd"/>
      <w:r w:rsidRPr="00F446BE">
        <w:rPr>
          <w:rFonts w:ascii="Times New Roman" w:eastAsia="標楷體" w:hAnsi="Times New Roman" w:cs="Times New Roman"/>
          <w:i/>
          <w:iCs/>
          <w:kern w:val="0"/>
          <w:szCs w:val="24"/>
        </w:rPr>
        <w:t xml:space="preserve"> </w:t>
      </w:r>
    </w:p>
    <w:p w14:paraId="2C1AB3DF"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i/>
          <w:iCs/>
          <w:kern w:val="0"/>
          <w:szCs w:val="24"/>
        </w:rPr>
        <w:t xml:space="preserve">    individual learning styles</w:t>
      </w:r>
      <w:r w:rsidRPr="00F446BE">
        <w:rPr>
          <w:rFonts w:ascii="Times New Roman" w:eastAsia="標楷體" w:hAnsi="Times New Roman" w:cs="Times New Roman"/>
          <w:kern w:val="0"/>
          <w:szCs w:val="24"/>
        </w:rPr>
        <w:t>. Allyn &amp; Bacon.</w:t>
      </w:r>
    </w:p>
    <w:p w14:paraId="17733EAB"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Eisner, E. W. (2002). </w:t>
      </w:r>
      <w:r w:rsidRPr="00F446BE">
        <w:rPr>
          <w:rFonts w:ascii="Times New Roman" w:eastAsia="標楷體" w:hAnsi="Times New Roman" w:cs="Times New Roman"/>
          <w:i/>
          <w:iCs/>
          <w:kern w:val="0"/>
          <w:szCs w:val="24"/>
        </w:rPr>
        <w:t>The arts and the creation of mind</w:t>
      </w:r>
      <w:r w:rsidRPr="00F446BE">
        <w:rPr>
          <w:rFonts w:ascii="Times New Roman" w:eastAsia="標楷體" w:hAnsi="Times New Roman" w:cs="Times New Roman"/>
          <w:kern w:val="0"/>
          <w:szCs w:val="24"/>
        </w:rPr>
        <w:t xml:space="preserve">. Yale University </w:t>
      </w:r>
    </w:p>
    <w:p w14:paraId="3B37D2A1"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    Press.</w:t>
      </w:r>
    </w:p>
    <w:p w14:paraId="67984047"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Felder, R. M., &amp; Silverman, L. K. (1988). Learning and teaching styles in </w:t>
      </w:r>
    </w:p>
    <w:p w14:paraId="56E6E32C"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    engineering education. </w:t>
      </w:r>
      <w:r w:rsidRPr="00F446BE">
        <w:rPr>
          <w:rFonts w:ascii="Times New Roman" w:eastAsia="標楷體" w:hAnsi="Times New Roman" w:cs="Times New Roman"/>
          <w:i/>
          <w:iCs/>
          <w:kern w:val="0"/>
          <w:szCs w:val="24"/>
        </w:rPr>
        <w:t>Engineering Education, 78</w:t>
      </w:r>
      <w:r w:rsidRPr="00F446BE">
        <w:rPr>
          <w:rFonts w:ascii="Times New Roman" w:eastAsia="標楷體" w:hAnsi="Times New Roman" w:cs="Times New Roman"/>
          <w:kern w:val="0"/>
          <w:szCs w:val="24"/>
        </w:rPr>
        <w:t>(7), 674–681.</w:t>
      </w:r>
    </w:p>
    <w:p w14:paraId="72A5E0BA"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Fleming, N. D. (2001). </w:t>
      </w:r>
      <w:r w:rsidRPr="00F446BE">
        <w:rPr>
          <w:rFonts w:ascii="Times New Roman" w:eastAsia="標楷體" w:hAnsi="Times New Roman" w:cs="Times New Roman"/>
          <w:i/>
          <w:iCs/>
          <w:kern w:val="0"/>
          <w:szCs w:val="24"/>
        </w:rPr>
        <w:t>Teaching and learning styles: VARK strategies</w:t>
      </w:r>
      <w:r w:rsidRPr="00F446BE">
        <w:rPr>
          <w:rFonts w:ascii="Times New Roman" w:eastAsia="標楷體" w:hAnsi="Times New Roman" w:cs="Times New Roman"/>
          <w:kern w:val="0"/>
          <w:szCs w:val="24"/>
        </w:rPr>
        <w:t xml:space="preserve">. Neil </w:t>
      </w:r>
    </w:p>
    <w:p w14:paraId="60AB464A"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    Fleming.</w:t>
      </w:r>
    </w:p>
    <w:p w14:paraId="25B47581" w14:textId="77777777" w:rsidR="00F446BE" w:rsidRPr="00F446BE" w:rsidRDefault="00F446BE" w:rsidP="00F446BE">
      <w:pPr>
        <w:widowControl/>
        <w:rPr>
          <w:rFonts w:ascii="Times New Roman" w:eastAsia="標楷體" w:hAnsi="Times New Roman" w:cs="Times New Roman"/>
          <w:i/>
          <w:iCs/>
          <w:kern w:val="0"/>
          <w:szCs w:val="24"/>
        </w:rPr>
      </w:pPr>
      <w:r w:rsidRPr="00F446BE">
        <w:rPr>
          <w:rFonts w:ascii="Times New Roman" w:eastAsia="標楷體" w:hAnsi="Times New Roman" w:cs="Times New Roman"/>
          <w:kern w:val="0"/>
          <w:szCs w:val="24"/>
        </w:rPr>
        <w:lastRenderedPageBreak/>
        <w:t xml:space="preserve">Goldberg, L. R. (1993). The structure of phenotypic personality traits. </w:t>
      </w:r>
    </w:p>
    <w:p w14:paraId="170C8991"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i/>
          <w:iCs/>
          <w:kern w:val="0"/>
          <w:szCs w:val="24"/>
        </w:rPr>
        <w:t xml:space="preserve">    American Psychologist, 48</w:t>
      </w:r>
      <w:r w:rsidRPr="00F446BE">
        <w:rPr>
          <w:rFonts w:ascii="Times New Roman" w:eastAsia="標楷體" w:hAnsi="Times New Roman" w:cs="Times New Roman"/>
          <w:kern w:val="0"/>
          <w:szCs w:val="24"/>
        </w:rPr>
        <w:t>(1), 26–34.</w:t>
      </w:r>
    </w:p>
    <w:p w14:paraId="57063FE3"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John, O. P., &amp; Srivastava, S. (1999). The Big Five trait taxonomy: History, </w:t>
      </w:r>
    </w:p>
    <w:p w14:paraId="25CDDADB"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    measurement, and theoretical perspectives. In L. A. </w:t>
      </w:r>
      <w:proofErr w:type="spellStart"/>
      <w:r w:rsidRPr="00F446BE">
        <w:rPr>
          <w:rFonts w:ascii="Times New Roman" w:eastAsia="標楷體" w:hAnsi="Times New Roman" w:cs="Times New Roman"/>
          <w:kern w:val="0"/>
          <w:szCs w:val="24"/>
        </w:rPr>
        <w:t>Pervin</w:t>
      </w:r>
      <w:proofErr w:type="spellEnd"/>
      <w:r w:rsidRPr="00F446BE">
        <w:rPr>
          <w:rFonts w:ascii="Times New Roman" w:eastAsia="標楷體" w:hAnsi="Times New Roman" w:cs="Times New Roman"/>
          <w:kern w:val="0"/>
          <w:szCs w:val="24"/>
        </w:rPr>
        <w:t xml:space="preserve"> &amp; O. P. John </w:t>
      </w:r>
    </w:p>
    <w:p w14:paraId="6551D2E8"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    (Eds.), </w:t>
      </w:r>
      <w:r w:rsidRPr="00F446BE">
        <w:rPr>
          <w:rFonts w:ascii="Times New Roman" w:eastAsia="標楷體" w:hAnsi="Times New Roman" w:cs="Times New Roman"/>
          <w:i/>
          <w:iCs/>
          <w:kern w:val="0"/>
          <w:szCs w:val="24"/>
        </w:rPr>
        <w:t>Handbook of personality: Theory and research</w:t>
      </w:r>
      <w:r w:rsidRPr="00F446BE">
        <w:rPr>
          <w:rFonts w:ascii="Times New Roman" w:eastAsia="標楷體" w:hAnsi="Times New Roman" w:cs="Times New Roman"/>
          <w:kern w:val="0"/>
          <w:szCs w:val="24"/>
        </w:rPr>
        <w:t xml:space="preserve"> (pp. 102–138). </w:t>
      </w:r>
    </w:p>
    <w:p w14:paraId="0F14F5D6"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    Guilford Press.</w:t>
      </w:r>
    </w:p>
    <w:p w14:paraId="3227C745"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kern w:val="0"/>
          <w:szCs w:val="24"/>
        </w:rPr>
        <w:t xml:space="preserve">Jung, C. G. (1921). </w:t>
      </w:r>
      <w:r w:rsidRPr="00F446BE">
        <w:rPr>
          <w:rFonts w:ascii="Times New Roman" w:eastAsia="標楷體" w:hAnsi="Times New Roman" w:cs="Times New Roman"/>
          <w:i/>
          <w:iCs/>
          <w:kern w:val="0"/>
          <w:szCs w:val="24"/>
        </w:rPr>
        <w:t>Psychological types</w:t>
      </w:r>
      <w:r w:rsidRPr="00F446BE">
        <w:rPr>
          <w:rFonts w:ascii="Times New Roman" w:eastAsia="標楷體" w:hAnsi="Times New Roman" w:cs="Times New Roman"/>
          <w:kern w:val="0"/>
          <w:szCs w:val="24"/>
        </w:rPr>
        <w:t>. Routledge.</w:t>
      </w:r>
    </w:p>
    <w:p w14:paraId="3B146235" w14:textId="77777777" w:rsidR="00F446BE" w:rsidRPr="00F446BE" w:rsidRDefault="00F446BE" w:rsidP="00F446BE">
      <w:pPr>
        <w:widowControl/>
        <w:rPr>
          <w:rFonts w:ascii="Times New Roman" w:eastAsia="標楷體" w:hAnsi="Times New Roman" w:cs="Times New Roman"/>
          <w:i/>
          <w:iCs/>
          <w:kern w:val="0"/>
          <w:szCs w:val="24"/>
        </w:rPr>
      </w:pPr>
      <w:r w:rsidRPr="00F446BE">
        <w:rPr>
          <w:rFonts w:ascii="Times New Roman" w:eastAsia="標楷體" w:hAnsi="Times New Roman" w:cs="Times New Roman"/>
          <w:kern w:val="0"/>
          <w:szCs w:val="24"/>
        </w:rPr>
        <w:t xml:space="preserve">Kolb, D. A. (1984). </w:t>
      </w:r>
      <w:r w:rsidRPr="00F446BE">
        <w:rPr>
          <w:rFonts w:ascii="Times New Roman" w:eastAsia="標楷體" w:hAnsi="Times New Roman" w:cs="Times New Roman"/>
          <w:i/>
          <w:iCs/>
          <w:kern w:val="0"/>
          <w:szCs w:val="24"/>
        </w:rPr>
        <w:t xml:space="preserve">Experiential learning: Experience as the source of </w:t>
      </w:r>
    </w:p>
    <w:p w14:paraId="18085151"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i/>
          <w:iCs/>
          <w:kern w:val="0"/>
          <w:szCs w:val="24"/>
        </w:rPr>
        <w:t xml:space="preserve">    learning and development</w:t>
      </w:r>
      <w:r w:rsidRPr="00F446BE">
        <w:rPr>
          <w:rFonts w:ascii="Times New Roman" w:eastAsia="標楷體" w:hAnsi="Times New Roman" w:cs="Times New Roman"/>
          <w:kern w:val="0"/>
          <w:szCs w:val="24"/>
        </w:rPr>
        <w:t>. Prentice Hall.</w:t>
      </w:r>
    </w:p>
    <w:p w14:paraId="12243D89" w14:textId="77777777" w:rsidR="00F446BE" w:rsidRPr="00F446BE" w:rsidRDefault="00F446BE" w:rsidP="00F446BE">
      <w:pPr>
        <w:widowControl/>
        <w:rPr>
          <w:rFonts w:ascii="Times New Roman" w:eastAsia="標楷體" w:hAnsi="Times New Roman" w:cs="Times New Roman"/>
          <w:kern w:val="0"/>
          <w:szCs w:val="24"/>
        </w:rPr>
      </w:pPr>
      <w:proofErr w:type="spellStart"/>
      <w:r w:rsidRPr="00F446BE">
        <w:rPr>
          <w:rFonts w:ascii="Times New Roman" w:eastAsia="標楷體" w:hAnsi="Times New Roman" w:cs="Times New Roman"/>
          <w:kern w:val="0"/>
          <w:szCs w:val="24"/>
        </w:rPr>
        <w:t>Pintrich</w:t>
      </w:r>
      <w:proofErr w:type="spellEnd"/>
      <w:r w:rsidRPr="00F446BE">
        <w:rPr>
          <w:rFonts w:ascii="Times New Roman" w:eastAsia="標楷體" w:hAnsi="Times New Roman" w:cs="Times New Roman"/>
          <w:kern w:val="0"/>
          <w:szCs w:val="24"/>
        </w:rPr>
        <w:t xml:space="preserve">, P. R. (2003). A motivational science perspective on the role of </w:t>
      </w:r>
    </w:p>
    <w:p w14:paraId="13597196" w14:textId="77777777" w:rsidR="00F446BE" w:rsidRPr="00F446BE" w:rsidRDefault="00F446BE" w:rsidP="00F446BE">
      <w:pPr>
        <w:widowControl/>
        <w:rPr>
          <w:rFonts w:ascii="Times New Roman" w:eastAsia="標楷體" w:hAnsi="Times New Roman" w:cs="Times New Roman"/>
          <w:i/>
          <w:iCs/>
          <w:kern w:val="0"/>
          <w:szCs w:val="24"/>
        </w:rPr>
      </w:pPr>
      <w:r w:rsidRPr="00F446BE">
        <w:rPr>
          <w:rFonts w:ascii="Times New Roman" w:eastAsia="標楷體" w:hAnsi="Times New Roman" w:cs="Times New Roman"/>
          <w:kern w:val="0"/>
          <w:szCs w:val="24"/>
        </w:rPr>
        <w:t xml:space="preserve">    student motivation in learning and teaching contexts. </w:t>
      </w:r>
      <w:r w:rsidRPr="00F446BE">
        <w:rPr>
          <w:rFonts w:ascii="Times New Roman" w:eastAsia="標楷體" w:hAnsi="Times New Roman" w:cs="Times New Roman"/>
          <w:i/>
          <w:iCs/>
          <w:kern w:val="0"/>
          <w:szCs w:val="24"/>
        </w:rPr>
        <w:t xml:space="preserve">Journal of </w:t>
      </w:r>
    </w:p>
    <w:p w14:paraId="69673F89"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i/>
          <w:iCs/>
          <w:kern w:val="0"/>
          <w:szCs w:val="24"/>
        </w:rPr>
        <w:t xml:space="preserve">    Educational Psychology, 95</w:t>
      </w:r>
      <w:r w:rsidRPr="00F446BE">
        <w:rPr>
          <w:rFonts w:ascii="Times New Roman" w:eastAsia="標楷體" w:hAnsi="Times New Roman" w:cs="Times New Roman"/>
          <w:kern w:val="0"/>
          <w:szCs w:val="24"/>
        </w:rPr>
        <w:t>(4), 667–686.</w:t>
      </w:r>
    </w:p>
    <w:p w14:paraId="38FD65E1" w14:textId="77777777" w:rsidR="00F446BE" w:rsidRPr="00F446BE" w:rsidRDefault="00F446BE" w:rsidP="00F446BE">
      <w:pPr>
        <w:widowControl/>
        <w:rPr>
          <w:rFonts w:ascii="Times New Roman" w:eastAsia="標楷體" w:hAnsi="Times New Roman" w:cs="Times New Roman"/>
          <w:i/>
          <w:iCs/>
          <w:kern w:val="0"/>
          <w:szCs w:val="24"/>
        </w:rPr>
      </w:pPr>
      <w:r w:rsidRPr="00F446BE">
        <w:rPr>
          <w:rFonts w:ascii="Times New Roman" w:eastAsia="標楷體" w:hAnsi="Times New Roman" w:cs="Times New Roman"/>
          <w:kern w:val="0"/>
          <w:szCs w:val="24"/>
        </w:rPr>
        <w:t>Winner, E., Goldstein, T. R., &amp; Vincent-</w:t>
      </w:r>
      <w:proofErr w:type="spellStart"/>
      <w:r w:rsidRPr="00F446BE">
        <w:rPr>
          <w:rFonts w:ascii="Times New Roman" w:eastAsia="標楷體" w:hAnsi="Times New Roman" w:cs="Times New Roman"/>
          <w:kern w:val="0"/>
          <w:szCs w:val="24"/>
        </w:rPr>
        <w:t>Lancrin</w:t>
      </w:r>
      <w:proofErr w:type="spellEnd"/>
      <w:r w:rsidRPr="00F446BE">
        <w:rPr>
          <w:rFonts w:ascii="Times New Roman" w:eastAsia="標楷體" w:hAnsi="Times New Roman" w:cs="Times New Roman"/>
          <w:kern w:val="0"/>
          <w:szCs w:val="24"/>
        </w:rPr>
        <w:t xml:space="preserve">, S. (2013). </w:t>
      </w:r>
      <w:r w:rsidRPr="00F446BE">
        <w:rPr>
          <w:rFonts w:ascii="Times New Roman" w:eastAsia="標楷體" w:hAnsi="Times New Roman" w:cs="Times New Roman"/>
          <w:i/>
          <w:iCs/>
          <w:kern w:val="0"/>
          <w:szCs w:val="24"/>
        </w:rPr>
        <w:t xml:space="preserve">Art for art’s </w:t>
      </w:r>
    </w:p>
    <w:p w14:paraId="6C3A2CEC"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i/>
          <w:iCs/>
          <w:kern w:val="0"/>
          <w:szCs w:val="24"/>
        </w:rPr>
        <w:t xml:space="preserve">    sake? The impact of arts education</w:t>
      </w:r>
      <w:r w:rsidRPr="00F446BE">
        <w:rPr>
          <w:rFonts w:ascii="Times New Roman" w:eastAsia="標楷體" w:hAnsi="Times New Roman" w:cs="Times New Roman"/>
          <w:kern w:val="0"/>
          <w:szCs w:val="24"/>
        </w:rPr>
        <w:t>. OECD Publishing.</w:t>
      </w:r>
    </w:p>
    <w:p w14:paraId="0EDA3ED1" w14:textId="77777777" w:rsidR="00F446BE" w:rsidRPr="00F446BE" w:rsidRDefault="00F446BE" w:rsidP="00F446BE">
      <w:pPr>
        <w:widowControl/>
        <w:rPr>
          <w:rFonts w:ascii="Times New Roman" w:eastAsia="標楷體" w:hAnsi="Times New Roman" w:cs="Times New Roman"/>
          <w:i/>
          <w:iCs/>
          <w:kern w:val="0"/>
          <w:szCs w:val="24"/>
        </w:rPr>
      </w:pPr>
      <w:r w:rsidRPr="00F446BE">
        <w:rPr>
          <w:rFonts w:ascii="Times New Roman" w:eastAsia="標楷體" w:hAnsi="Times New Roman" w:cs="Times New Roman"/>
          <w:kern w:val="0"/>
          <w:szCs w:val="24"/>
        </w:rPr>
        <w:t xml:space="preserve">Zimmerman, B. J. (2002). Becoming a self-regulated learner: An overview. </w:t>
      </w:r>
    </w:p>
    <w:p w14:paraId="65A88CC0" w14:textId="77777777" w:rsidR="00F446BE" w:rsidRPr="00F446BE" w:rsidRDefault="00F446BE" w:rsidP="00F446BE">
      <w:pPr>
        <w:widowControl/>
        <w:rPr>
          <w:rFonts w:ascii="Times New Roman" w:eastAsia="標楷體" w:hAnsi="Times New Roman" w:cs="Times New Roman"/>
          <w:kern w:val="0"/>
          <w:szCs w:val="24"/>
        </w:rPr>
      </w:pPr>
      <w:r w:rsidRPr="00F446BE">
        <w:rPr>
          <w:rFonts w:ascii="Times New Roman" w:eastAsia="標楷體" w:hAnsi="Times New Roman" w:cs="Times New Roman"/>
          <w:i/>
          <w:iCs/>
          <w:kern w:val="0"/>
          <w:szCs w:val="24"/>
        </w:rPr>
        <w:t xml:space="preserve">    Theory Into Practice, 41</w:t>
      </w:r>
      <w:r w:rsidRPr="00F446BE">
        <w:rPr>
          <w:rFonts w:ascii="Times New Roman" w:eastAsia="標楷體" w:hAnsi="Times New Roman" w:cs="Times New Roman"/>
          <w:kern w:val="0"/>
          <w:szCs w:val="24"/>
        </w:rPr>
        <w:t>(2), 64–70.</w:t>
      </w:r>
    </w:p>
    <w:p w14:paraId="176C23E3" w14:textId="77777777" w:rsidR="00F446BE" w:rsidRPr="00F446BE" w:rsidRDefault="00F446BE" w:rsidP="00F446BE">
      <w:pPr>
        <w:rPr>
          <w:rFonts w:ascii="Times New Roman" w:hAnsi="Times New Roman" w:cs="Times New Roman"/>
          <w:b/>
          <w:bCs/>
          <w:szCs w:val="24"/>
        </w:rPr>
      </w:pPr>
    </w:p>
    <w:sectPr w:rsidR="00F446BE" w:rsidRPr="00F446BE" w:rsidSect="00711678">
      <w:footerReference w:type="default" r:id="rId10"/>
      <w:pgSz w:w="11906" w:h="16838"/>
      <w:pgMar w:top="1440" w:right="1800" w:bottom="1440" w:left="180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7D614" w14:textId="77777777" w:rsidR="00092B79" w:rsidRDefault="00092B79" w:rsidP="00711678">
      <w:r>
        <w:separator/>
      </w:r>
    </w:p>
  </w:endnote>
  <w:endnote w:type="continuationSeparator" w:id="0">
    <w:p w14:paraId="0A159B67" w14:textId="77777777" w:rsidR="00092B79" w:rsidRDefault="00092B79" w:rsidP="00711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D0E18" w14:textId="22F165C1" w:rsidR="00711678" w:rsidRDefault="00711678" w:rsidP="00711678">
    <w:pPr>
      <w:pStyle w:val="aa"/>
      <w:jc w:val="center"/>
    </w:pPr>
    <w:r>
      <w:fldChar w:fldCharType="begin"/>
    </w:r>
    <w:r>
      <w:instrText>PAGE   \* MERGEFORMAT</w:instrText>
    </w:r>
    <w:r>
      <w:fldChar w:fldCharType="separate"/>
    </w:r>
    <w:r>
      <w:rPr>
        <w:lang w:val="zh-TW"/>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62A0F" w14:textId="77777777" w:rsidR="00092B79" w:rsidRDefault="00092B79" w:rsidP="00711678">
      <w:r>
        <w:separator/>
      </w:r>
    </w:p>
  </w:footnote>
  <w:footnote w:type="continuationSeparator" w:id="0">
    <w:p w14:paraId="1ED57001" w14:textId="77777777" w:rsidR="00092B79" w:rsidRDefault="00092B79" w:rsidP="007116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03B6F"/>
    <w:multiLevelType w:val="multilevel"/>
    <w:tmpl w:val="A29A7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3E0401"/>
    <w:multiLevelType w:val="multilevel"/>
    <w:tmpl w:val="AA24A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1E7B84"/>
    <w:multiLevelType w:val="multilevel"/>
    <w:tmpl w:val="B5EA5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9200CF"/>
    <w:multiLevelType w:val="multilevel"/>
    <w:tmpl w:val="8A86B4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CD"/>
    <w:rsid w:val="00092B79"/>
    <w:rsid w:val="00261A44"/>
    <w:rsid w:val="002E6B92"/>
    <w:rsid w:val="0038468E"/>
    <w:rsid w:val="003D09CD"/>
    <w:rsid w:val="005C1532"/>
    <w:rsid w:val="005C6860"/>
    <w:rsid w:val="00705159"/>
    <w:rsid w:val="00711678"/>
    <w:rsid w:val="00900166"/>
    <w:rsid w:val="0092505C"/>
    <w:rsid w:val="009807DD"/>
    <w:rsid w:val="009A3D6D"/>
    <w:rsid w:val="009E3759"/>
    <w:rsid w:val="00A412AD"/>
    <w:rsid w:val="00AD5B73"/>
    <w:rsid w:val="00B43499"/>
    <w:rsid w:val="00BE3E26"/>
    <w:rsid w:val="00DB4C3E"/>
    <w:rsid w:val="00DB576D"/>
    <w:rsid w:val="00F446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CFFD9D"/>
  <w15:chartTrackingRefBased/>
  <w15:docId w15:val="{117360BB-09CE-4C2C-8D3E-E25795722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link w:val="10"/>
    <w:uiPriority w:val="9"/>
    <w:qFormat/>
    <w:rsid w:val="003D09CD"/>
    <w:pPr>
      <w:widowControl/>
      <w:spacing w:before="100" w:beforeAutospacing="1" w:after="100" w:afterAutospacing="1"/>
      <w:outlineLvl w:val="0"/>
    </w:pPr>
    <w:rPr>
      <w:rFonts w:ascii="新細明體" w:eastAsia="新細明體" w:hAnsi="新細明體" w:cs="新細明體"/>
      <w:b/>
      <w:bCs/>
      <w:kern w:val="36"/>
      <w:sz w:val="48"/>
      <w:szCs w:val="48"/>
    </w:rPr>
  </w:style>
  <w:style w:type="paragraph" w:styleId="2">
    <w:name w:val="heading 2"/>
    <w:basedOn w:val="a"/>
    <w:next w:val="a"/>
    <w:link w:val="20"/>
    <w:uiPriority w:val="9"/>
    <w:semiHidden/>
    <w:unhideWhenUsed/>
    <w:qFormat/>
    <w:rsid w:val="00A412AD"/>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semiHidden/>
    <w:unhideWhenUsed/>
    <w:qFormat/>
    <w:rsid w:val="00AD5B73"/>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D09CD"/>
    <w:rPr>
      <w:rFonts w:ascii="新細明體" w:eastAsia="新細明體" w:hAnsi="新細明體" w:cs="新細明體"/>
      <w:b/>
      <w:bCs/>
      <w:kern w:val="36"/>
      <w:sz w:val="48"/>
      <w:szCs w:val="48"/>
    </w:rPr>
  </w:style>
  <w:style w:type="character" w:styleId="a3">
    <w:name w:val="Strong"/>
    <w:basedOn w:val="a0"/>
    <w:uiPriority w:val="22"/>
    <w:qFormat/>
    <w:rsid w:val="003D09CD"/>
    <w:rPr>
      <w:b/>
      <w:bCs/>
    </w:rPr>
  </w:style>
  <w:style w:type="paragraph" w:styleId="Web">
    <w:name w:val="Normal (Web)"/>
    <w:basedOn w:val="a"/>
    <w:uiPriority w:val="99"/>
    <w:unhideWhenUsed/>
    <w:rsid w:val="003D09CD"/>
    <w:pPr>
      <w:widowControl/>
      <w:spacing w:before="100" w:beforeAutospacing="1" w:after="100" w:afterAutospacing="1"/>
    </w:pPr>
    <w:rPr>
      <w:rFonts w:ascii="新細明體" w:eastAsia="新細明體" w:hAnsi="新細明體" w:cs="新細明體"/>
      <w:kern w:val="0"/>
      <w:szCs w:val="24"/>
    </w:rPr>
  </w:style>
  <w:style w:type="character" w:styleId="a4">
    <w:name w:val="Hyperlink"/>
    <w:basedOn w:val="a0"/>
    <w:uiPriority w:val="99"/>
    <w:unhideWhenUsed/>
    <w:rsid w:val="003D09CD"/>
    <w:rPr>
      <w:color w:val="0563C1" w:themeColor="hyperlink"/>
      <w:u w:val="single"/>
    </w:rPr>
  </w:style>
  <w:style w:type="character" w:styleId="a5">
    <w:name w:val="Unresolved Mention"/>
    <w:basedOn w:val="a0"/>
    <w:uiPriority w:val="99"/>
    <w:semiHidden/>
    <w:unhideWhenUsed/>
    <w:rsid w:val="003D09CD"/>
    <w:rPr>
      <w:color w:val="605E5C"/>
      <w:shd w:val="clear" w:color="auto" w:fill="E1DFDD"/>
    </w:rPr>
  </w:style>
  <w:style w:type="character" w:customStyle="1" w:styleId="20">
    <w:name w:val="標題 2 字元"/>
    <w:basedOn w:val="a0"/>
    <w:link w:val="2"/>
    <w:uiPriority w:val="9"/>
    <w:semiHidden/>
    <w:rsid w:val="00A412AD"/>
    <w:rPr>
      <w:rFonts w:asciiTheme="majorHAnsi" w:eastAsiaTheme="majorEastAsia" w:hAnsiTheme="majorHAnsi" w:cstheme="majorBidi"/>
      <w:b/>
      <w:bCs/>
      <w:sz w:val="48"/>
      <w:szCs w:val="48"/>
    </w:rPr>
  </w:style>
  <w:style w:type="table" w:styleId="a6">
    <w:name w:val="Table Grid"/>
    <w:basedOn w:val="a1"/>
    <w:uiPriority w:val="39"/>
    <w:rsid w:val="00BE3E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標題 3 字元"/>
    <w:basedOn w:val="a0"/>
    <w:link w:val="3"/>
    <w:uiPriority w:val="9"/>
    <w:semiHidden/>
    <w:rsid w:val="00AD5B73"/>
    <w:rPr>
      <w:rFonts w:asciiTheme="majorHAnsi" w:eastAsiaTheme="majorEastAsia" w:hAnsiTheme="majorHAnsi" w:cstheme="majorBidi"/>
      <w:b/>
      <w:bCs/>
      <w:sz w:val="36"/>
      <w:szCs w:val="36"/>
    </w:rPr>
  </w:style>
  <w:style w:type="character" w:styleId="a7">
    <w:name w:val="Emphasis"/>
    <w:basedOn w:val="a0"/>
    <w:uiPriority w:val="20"/>
    <w:qFormat/>
    <w:rsid w:val="00F446BE"/>
    <w:rPr>
      <w:i/>
      <w:iCs/>
    </w:rPr>
  </w:style>
  <w:style w:type="paragraph" w:styleId="a8">
    <w:name w:val="header"/>
    <w:basedOn w:val="a"/>
    <w:link w:val="a9"/>
    <w:uiPriority w:val="99"/>
    <w:unhideWhenUsed/>
    <w:rsid w:val="00711678"/>
    <w:pPr>
      <w:tabs>
        <w:tab w:val="center" w:pos="4153"/>
        <w:tab w:val="right" w:pos="8306"/>
      </w:tabs>
      <w:snapToGrid w:val="0"/>
    </w:pPr>
    <w:rPr>
      <w:sz w:val="20"/>
      <w:szCs w:val="20"/>
    </w:rPr>
  </w:style>
  <w:style w:type="character" w:customStyle="1" w:styleId="a9">
    <w:name w:val="頁首 字元"/>
    <w:basedOn w:val="a0"/>
    <w:link w:val="a8"/>
    <w:uiPriority w:val="99"/>
    <w:rsid w:val="00711678"/>
    <w:rPr>
      <w:sz w:val="20"/>
      <w:szCs w:val="20"/>
    </w:rPr>
  </w:style>
  <w:style w:type="paragraph" w:styleId="aa">
    <w:name w:val="footer"/>
    <w:basedOn w:val="a"/>
    <w:link w:val="ab"/>
    <w:uiPriority w:val="99"/>
    <w:unhideWhenUsed/>
    <w:rsid w:val="00711678"/>
    <w:pPr>
      <w:tabs>
        <w:tab w:val="center" w:pos="4153"/>
        <w:tab w:val="right" w:pos="8306"/>
      </w:tabs>
      <w:snapToGrid w:val="0"/>
    </w:pPr>
    <w:rPr>
      <w:sz w:val="20"/>
      <w:szCs w:val="20"/>
    </w:rPr>
  </w:style>
  <w:style w:type="character" w:customStyle="1" w:styleId="ab">
    <w:name w:val="頁尾 字元"/>
    <w:basedOn w:val="a0"/>
    <w:link w:val="aa"/>
    <w:uiPriority w:val="99"/>
    <w:rsid w:val="0071167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504">
      <w:bodyDiv w:val="1"/>
      <w:marLeft w:val="0"/>
      <w:marRight w:val="0"/>
      <w:marTop w:val="0"/>
      <w:marBottom w:val="0"/>
      <w:divBdr>
        <w:top w:val="none" w:sz="0" w:space="0" w:color="auto"/>
        <w:left w:val="none" w:sz="0" w:space="0" w:color="auto"/>
        <w:bottom w:val="none" w:sz="0" w:space="0" w:color="auto"/>
        <w:right w:val="none" w:sz="0" w:space="0" w:color="auto"/>
      </w:divBdr>
    </w:div>
    <w:div w:id="174149258">
      <w:bodyDiv w:val="1"/>
      <w:marLeft w:val="0"/>
      <w:marRight w:val="0"/>
      <w:marTop w:val="0"/>
      <w:marBottom w:val="0"/>
      <w:divBdr>
        <w:top w:val="none" w:sz="0" w:space="0" w:color="auto"/>
        <w:left w:val="none" w:sz="0" w:space="0" w:color="auto"/>
        <w:bottom w:val="none" w:sz="0" w:space="0" w:color="auto"/>
        <w:right w:val="none" w:sz="0" w:space="0" w:color="auto"/>
      </w:divBdr>
    </w:div>
    <w:div w:id="279726378">
      <w:bodyDiv w:val="1"/>
      <w:marLeft w:val="0"/>
      <w:marRight w:val="0"/>
      <w:marTop w:val="0"/>
      <w:marBottom w:val="0"/>
      <w:divBdr>
        <w:top w:val="none" w:sz="0" w:space="0" w:color="auto"/>
        <w:left w:val="none" w:sz="0" w:space="0" w:color="auto"/>
        <w:bottom w:val="none" w:sz="0" w:space="0" w:color="auto"/>
        <w:right w:val="none" w:sz="0" w:space="0" w:color="auto"/>
      </w:divBdr>
    </w:div>
    <w:div w:id="419523920">
      <w:bodyDiv w:val="1"/>
      <w:marLeft w:val="0"/>
      <w:marRight w:val="0"/>
      <w:marTop w:val="0"/>
      <w:marBottom w:val="0"/>
      <w:divBdr>
        <w:top w:val="none" w:sz="0" w:space="0" w:color="auto"/>
        <w:left w:val="none" w:sz="0" w:space="0" w:color="auto"/>
        <w:bottom w:val="none" w:sz="0" w:space="0" w:color="auto"/>
        <w:right w:val="none" w:sz="0" w:space="0" w:color="auto"/>
      </w:divBdr>
    </w:div>
    <w:div w:id="518005999">
      <w:bodyDiv w:val="1"/>
      <w:marLeft w:val="0"/>
      <w:marRight w:val="0"/>
      <w:marTop w:val="0"/>
      <w:marBottom w:val="0"/>
      <w:divBdr>
        <w:top w:val="none" w:sz="0" w:space="0" w:color="auto"/>
        <w:left w:val="none" w:sz="0" w:space="0" w:color="auto"/>
        <w:bottom w:val="none" w:sz="0" w:space="0" w:color="auto"/>
        <w:right w:val="none" w:sz="0" w:space="0" w:color="auto"/>
      </w:divBdr>
    </w:div>
    <w:div w:id="606354574">
      <w:bodyDiv w:val="1"/>
      <w:marLeft w:val="0"/>
      <w:marRight w:val="0"/>
      <w:marTop w:val="0"/>
      <w:marBottom w:val="0"/>
      <w:divBdr>
        <w:top w:val="none" w:sz="0" w:space="0" w:color="auto"/>
        <w:left w:val="none" w:sz="0" w:space="0" w:color="auto"/>
        <w:bottom w:val="none" w:sz="0" w:space="0" w:color="auto"/>
        <w:right w:val="none" w:sz="0" w:space="0" w:color="auto"/>
      </w:divBdr>
    </w:div>
    <w:div w:id="619848728">
      <w:bodyDiv w:val="1"/>
      <w:marLeft w:val="0"/>
      <w:marRight w:val="0"/>
      <w:marTop w:val="0"/>
      <w:marBottom w:val="0"/>
      <w:divBdr>
        <w:top w:val="none" w:sz="0" w:space="0" w:color="auto"/>
        <w:left w:val="none" w:sz="0" w:space="0" w:color="auto"/>
        <w:bottom w:val="none" w:sz="0" w:space="0" w:color="auto"/>
        <w:right w:val="none" w:sz="0" w:space="0" w:color="auto"/>
      </w:divBdr>
    </w:div>
    <w:div w:id="689065005">
      <w:bodyDiv w:val="1"/>
      <w:marLeft w:val="0"/>
      <w:marRight w:val="0"/>
      <w:marTop w:val="0"/>
      <w:marBottom w:val="0"/>
      <w:divBdr>
        <w:top w:val="none" w:sz="0" w:space="0" w:color="auto"/>
        <w:left w:val="none" w:sz="0" w:space="0" w:color="auto"/>
        <w:bottom w:val="none" w:sz="0" w:space="0" w:color="auto"/>
        <w:right w:val="none" w:sz="0" w:space="0" w:color="auto"/>
      </w:divBdr>
    </w:div>
    <w:div w:id="708993923">
      <w:bodyDiv w:val="1"/>
      <w:marLeft w:val="0"/>
      <w:marRight w:val="0"/>
      <w:marTop w:val="0"/>
      <w:marBottom w:val="0"/>
      <w:divBdr>
        <w:top w:val="none" w:sz="0" w:space="0" w:color="auto"/>
        <w:left w:val="none" w:sz="0" w:space="0" w:color="auto"/>
        <w:bottom w:val="none" w:sz="0" w:space="0" w:color="auto"/>
        <w:right w:val="none" w:sz="0" w:space="0" w:color="auto"/>
      </w:divBdr>
    </w:div>
    <w:div w:id="768045381">
      <w:bodyDiv w:val="1"/>
      <w:marLeft w:val="0"/>
      <w:marRight w:val="0"/>
      <w:marTop w:val="0"/>
      <w:marBottom w:val="0"/>
      <w:divBdr>
        <w:top w:val="none" w:sz="0" w:space="0" w:color="auto"/>
        <w:left w:val="none" w:sz="0" w:space="0" w:color="auto"/>
        <w:bottom w:val="none" w:sz="0" w:space="0" w:color="auto"/>
        <w:right w:val="none" w:sz="0" w:space="0" w:color="auto"/>
      </w:divBdr>
    </w:div>
    <w:div w:id="819884188">
      <w:bodyDiv w:val="1"/>
      <w:marLeft w:val="0"/>
      <w:marRight w:val="0"/>
      <w:marTop w:val="0"/>
      <w:marBottom w:val="0"/>
      <w:divBdr>
        <w:top w:val="none" w:sz="0" w:space="0" w:color="auto"/>
        <w:left w:val="none" w:sz="0" w:space="0" w:color="auto"/>
        <w:bottom w:val="none" w:sz="0" w:space="0" w:color="auto"/>
        <w:right w:val="none" w:sz="0" w:space="0" w:color="auto"/>
      </w:divBdr>
    </w:div>
    <w:div w:id="821657345">
      <w:bodyDiv w:val="1"/>
      <w:marLeft w:val="0"/>
      <w:marRight w:val="0"/>
      <w:marTop w:val="0"/>
      <w:marBottom w:val="0"/>
      <w:divBdr>
        <w:top w:val="none" w:sz="0" w:space="0" w:color="auto"/>
        <w:left w:val="none" w:sz="0" w:space="0" w:color="auto"/>
        <w:bottom w:val="none" w:sz="0" w:space="0" w:color="auto"/>
        <w:right w:val="none" w:sz="0" w:space="0" w:color="auto"/>
      </w:divBdr>
    </w:div>
    <w:div w:id="883563822">
      <w:bodyDiv w:val="1"/>
      <w:marLeft w:val="0"/>
      <w:marRight w:val="0"/>
      <w:marTop w:val="0"/>
      <w:marBottom w:val="0"/>
      <w:divBdr>
        <w:top w:val="none" w:sz="0" w:space="0" w:color="auto"/>
        <w:left w:val="none" w:sz="0" w:space="0" w:color="auto"/>
        <w:bottom w:val="none" w:sz="0" w:space="0" w:color="auto"/>
        <w:right w:val="none" w:sz="0" w:space="0" w:color="auto"/>
      </w:divBdr>
    </w:div>
    <w:div w:id="940524377">
      <w:bodyDiv w:val="1"/>
      <w:marLeft w:val="0"/>
      <w:marRight w:val="0"/>
      <w:marTop w:val="0"/>
      <w:marBottom w:val="0"/>
      <w:divBdr>
        <w:top w:val="none" w:sz="0" w:space="0" w:color="auto"/>
        <w:left w:val="none" w:sz="0" w:space="0" w:color="auto"/>
        <w:bottom w:val="none" w:sz="0" w:space="0" w:color="auto"/>
        <w:right w:val="none" w:sz="0" w:space="0" w:color="auto"/>
      </w:divBdr>
    </w:div>
    <w:div w:id="981155011">
      <w:bodyDiv w:val="1"/>
      <w:marLeft w:val="0"/>
      <w:marRight w:val="0"/>
      <w:marTop w:val="0"/>
      <w:marBottom w:val="0"/>
      <w:divBdr>
        <w:top w:val="none" w:sz="0" w:space="0" w:color="auto"/>
        <w:left w:val="none" w:sz="0" w:space="0" w:color="auto"/>
        <w:bottom w:val="none" w:sz="0" w:space="0" w:color="auto"/>
        <w:right w:val="none" w:sz="0" w:space="0" w:color="auto"/>
      </w:divBdr>
    </w:div>
    <w:div w:id="1084958309">
      <w:bodyDiv w:val="1"/>
      <w:marLeft w:val="0"/>
      <w:marRight w:val="0"/>
      <w:marTop w:val="0"/>
      <w:marBottom w:val="0"/>
      <w:divBdr>
        <w:top w:val="none" w:sz="0" w:space="0" w:color="auto"/>
        <w:left w:val="none" w:sz="0" w:space="0" w:color="auto"/>
        <w:bottom w:val="none" w:sz="0" w:space="0" w:color="auto"/>
        <w:right w:val="none" w:sz="0" w:space="0" w:color="auto"/>
      </w:divBdr>
    </w:div>
    <w:div w:id="1090658564">
      <w:bodyDiv w:val="1"/>
      <w:marLeft w:val="0"/>
      <w:marRight w:val="0"/>
      <w:marTop w:val="0"/>
      <w:marBottom w:val="0"/>
      <w:divBdr>
        <w:top w:val="none" w:sz="0" w:space="0" w:color="auto"/>
        <w:left w:val="none" w:sz="0" w:space="0" w:color="auto"/>
        <w:bottom w:val="none" w:sz="0" w:space="0" w:color="auto"/>
        <w:right w:val="none" w:sz="0" w:space="0" w:color="auto"/>
      </w:divBdr>
    </w:div>
    <w:div w:id="1092244448">
      <w:bodyDiv w:val="1"/>
      <w:marLeft w:val="0"/>
      <w:marRight w:val="0"/>
      <w:marTop w:val="0"/>
      <w:marBottom w:val="0"/>
      <w:divBdr>
        <w:top w:val="none" w:sz="0" w:space="0" w:color="auto"/>
        <w:left w:val="none" w:sz="0" w:space="0" w:color="auto"/>
        <w:bottom w:val="none" w:sz="0" w:space="0" w:color="auto"/>
        <w:right w:val="none" w:sz="0" w:space="0" w:color="auto"/>
      </w:divBdr>
    </w:div>
    <w:div w:id="1172380553">
      <w:bodyDiv w:val="1"/>
      <w:marLeft w:val="0"/>
      <w:marRight w:val="0"/>
      <w:marTop w:val="0"/>
      <w:marBottom w:val="0"/>
      <w:divBdr>
        <w:top w:val="none" w:sz="0" w:space="0" w:color="auto"/>
        <w:left w:val="none" w:sz="0" w:space="0" w:color="auto"/>
        <w:bottom w:val="none" w:sz="0" w:space="0" w:color="auto"/>
        <w:right w:val="none" w:sz="0" w:space="0" w:color="auto"/>
      </w:divBdr>
    </w:div>
    <w:div w:id="1281261313">
      <w:bodyDiv w:val="1"/>
      <w:marLeft w:val="0"/>
      <w:marRight w:val="0"/>
      <w:marTop w:val="0"/>
      <w:marBottom w:val="0"/>
      <w:divBdr>
        <w:top w:val="none" w:sz="0" w:space="0" w:color="auto"/>
        <w:left w:val="none" w:sz="0" w:space="0" w:color="auto"/>
        <w:bottom w:val="none" w:sz="0" w:space="0" w:color="auto"/>
        <w:right w:val="none" w:sz="0" w:space="0" w:color="auto"/>
      </w:divBdr>
    </w:div>
    <w:div w:id="1374233839">
      <w:bodyDiv w:val="1"/>
      <w:marLeft w:val="0"/>
      <w:marRight w:val="0"/>
      <w:marTop w:val="0"/>
      <w:marBottom w:val="0"/>
      <w:divBdr>
        <w:top w:val="none" w:sz="0" w:space="0" w:color="auto"/>
        <w:left w:val="none" w:sz="0" w:space="0" w:color="auto"/>
        <w:bottom w:val="none" w:sz="0" w:space="0" w:color="auto"/>
        <w:right w:val="none" w:sz="0" w:space="0" w:color="auto"/>
      </w:divBdr>
    </w:div>
    <w:div w:id="1406801388">
      <w:bodyDiv w:val="1"/>
      <w:marLeft w:val="0"/>
      <w:marRight w:val="0"/>
      <w:marTop w:val="0"/>
      <w:marBottom w:val="0"/>
      <w:divBdr>
        <w:top w:val="none" w:sz="0" w:space="0" w:color="auto"/>
        <w:left w:val="none" w:sz="0" w:space="0" w:color="auto"/>
        <w:bottom w:val="none" w:sz="0" w:space="0" w:color="auto"/>
        <w:right w:val="none" w:sz="0" w:space="0" w:color="auto"/>
      </w:divBdr>
    </w:div>
    <w:div w:id="1491404354">
      <w:bodyDiv w:val="1"/>
      <w:marLeft w:val="0"/>
      <w:marRight w:val="0"/>
      <w:marTop w:val="0"/>
      <w:marBottom w:val="0"/>
      <w:divBdr>
        <w:top w:val="none" w:sz="0" w:space="0" w:color="auto"/>
        <w:left w:val="none" w:sz="0" w:space="0" w:color="auto"/>
        <w:bottom w:val="none" w:sz="0" w:space="0" w:color="auto"/>
        <w:right w:val="none" w:sz="0" w:space="0" w:color="auto"/>
      </w:divBdr>
    </w:div>
    <w:div w:id="1494682081">
      <w:bodyDiv w:val="1"/>
      <w:marLeft w:val="0"/>
      <w:marRight w:val="0"/>
      <w:marTop w:val="0"/>
      <w:marBottom w:val="0"/>
      <w:divBdr>
        <w:top w:val="none" w:sz="0" w:space="0" w:color="auto"/>
        <w:left w:val="none" w:sz="0" w:space="0" w:color="auto"/>
        <w:bottom w:val="none" w:sz="0" w:space="0" w:color="auto"/>
        <w:right w:val="none" w:sz="0" w:space="0" w:color="auto"/>
      </w:divBdr>
    </w:div>
    <w:div w:id="1499926211">
      <w:bodyDiv w:val="1"/>
      <w:marLeft w:val="0"/>
      <w:marRight w:val="0"/>
      <w:marTop w:val="0"/>
      <w:marBottom w:val="0"/>
      <w:divBdr>
        <w:top w:val="none" w:sz="0" w:space="0" w:color="auto"/>
        <w:left w:val="none" w:sz="0" w:space="0" w:color="auto"/>
        <w:bottom w:val="none" w:sz="0" w:space="0" w:color="auto"/>
        <w:right w:val="none" w:sz="0" w:space="0" w:color="auto"/>
      </w:divBdr>
    </w:div>
    <w:div w:id="1501895521">
      <w:bodyDiv w:val="1"/>
      <w:marLeft w:val="0"/>
      <w:marRight w:val="0"/>
      <w:marTop w:val="0"/>
      <w:marBottom w:val="0"/>
      <w:divBdr>
        <w:top w:val="none" w:sz="0" w:space="0" w:color="auto"/>
        <w:left w:val="none" w:sz="0" w:space="0" w:color="auto"/>
        <w:bottom w:val="none" w:sz="0" w:space="0" w:color="auto"/>
        <w:right w:val="none" w:sz="0" w:space="0" w:color="auto"/>
      </w:divBdr>
    </w:div>
    <w:div w:id="1589077975">
      <w:bodyDiv w:val="1"/>
      <w:marLeft w:val="0"/>
      <w:marRight w:val="0"/>
      <w:marTop w:val="0"/>
      <w:marBottom w:val="0"/>
      <w:divBdr>
        <w:top w:val="none" w:sz="0" w:space="0" w:color="auto"/>
        <w:left w:val="none" w:sz="0" w:space="0" w:color="auto"/>
        <w:bottom w:val="none" w:sz="0" w:space="0" w:color="auto"/>
        <w:right w:val="none" w:sz="0" w:space="0" w:color="auto"/>
      </w:divBdr>
    </w:div>
    <w:div w:id="1710761539">
      <w:bodyDiv w:val="1"/>
      <w:marLeft w:val="0"/>
      <w:marRight w:val="0"/>
      <w:marTop w:val="0"/>
      <w:marBottom w:val="0"/>
      <w:divBdr>
        <w:top w:val="none" w:sz="0" w:space="0" w:color="auto"/>
        <w:left w:val="none" w:sz="0" w:space="0" w:color="auto"/>
        <w:bottom w:val="none" w:sz="0" w:space="0" w:color="auto"/>
        <w:right w:val="none" w:sz="0" w:space="0" w:color="auto"/>
      </w:divBdr>
    </w:div>
    <w:div w:id="1819034445">
      <w:bodyDiv w:val="1"/>
      <w:marLeft w:val="0"/>
      <w:marRight w:val="0"/>
      <w:marTop w:val="0"/>
      <w:marBottom w:val="0"/>
      <w:divBdr>
        <w:top w:val="none" w:sz="0" w:space="0" w:color="auto"/>
        <w:left w:val="none" w:sz="0" w:space="0" w:color="auto"/>
        <w:bottom w:val="none" w:sz="0" w:space="0" w:color="auto"/>
        <w:right w:val="none" w:sz="0" w:space="0" w:color="auto"/>
      </w:divBdr>
    </w:div>
    <w:div w:id="1962764723">
      <w:bodyDiv w:val="1"/>
      <w:marLeft w:val="0"/>
      <w:marRight w:val="0"/>
      <w:marTop w:val="0"/>
      <w:marBottom w:val="0"/>
      <w:divBdr>
        <w:top w:val="none" w:sz="0" w:space="0" w:color="auto"/>
        <w:left w:val="none" w:sz="0" w:space="0" w:color="auto"/>
        <w:bottom w:val="none" w:sz="0" w:space="0" w:color="auto"/>
        <w:right w:val="none" w:sz="0" w:space="0" w:color="auto"/>
      </w:divBdr>
    </w:div>
    <w:div w:id="2019650959">
      <w:bodyDiv w:val="1"/>
      <w:marLeft w:val="0"/>
      <w:marRight w:val="0"/>
      <w:marTop w:val="0"/>
      <w:marBottom w:val="0"/>
      <w:divBdr>
        <w:top w:val="none" w:sz="0" w:space="0" w:color="auto"/>
        <w:left w:val="none" w:sz="0" w:space="0" w:color="auto"/>
        <w:bottom w:val="none" w:sz="0" w:space="0" w:color="auto"/>
        <w:right w:val="none" w:sz="0" w:space="0" w:color="auto"/>
      </w:divBdr>
    </w:div>
    <w:div w:id="2048990097">
      <w:bodyDiv w:val="1"/>
      <w:marLeft w:val="0"/>
      <w:marRight w:val="0"/>
      <w:marTop w:val="0"/>
      <w:marBottom w:val="0"/>
      <w:divBdr>
        <w:top w:val="none" w:sz="0" w:space="0" w:color="auto"/>
        <w:left w:val="none" w:sz="0" w:space="0" w:color="auto"/>
        <w:bottom w:val="none" w:sz="0" w:space="0" w:color="auto"/>
        <w:right w:val="none" w:sz="0" w:space="0" w:color="auto"/>
      </w:divBdr>
    </w:div>
    <w:div w:id="2081711586">
      <w:bodyDiv w:val="1"/>
      <w:marLeft w:val="0"/>
      <w:marRight w:val="0"/>
      <w:marTop w:val="0"/>
      <w:marBottom w:val="0"/>
      <w:divBdr>
        <w:top w:val="none" w:sz="0" w:space="0" w:color="auto"/>
        <w:left w:val="none" w:sz="0" w:space="0" w:color="auto"/>
        <w:bottom w:val="none" w:sz="0" w:space="0" w:color="auto"/>
        <w:right w:val="none" w:sz="0" w:space="0" w:color="auto"/>
      </w:divBdr>
    </w:div>
    <w:div w:id="214408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1403005@gm.ntus.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08200-1614-42E5-8A43-5BA88A856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13</Pages>
  <Words>4588</Words>
  <Characters>26152</Characters>
  <Application>Microsoft Office Word</Application>
  <DocSecurity>0</DocSecurity>
  <Lines>217</Lines>
  <Paragraphs>61</Paragraphs>
  <ScaleCrop>false</ScaleCrop>
  <Company>NTCT</Company>
  <LinksUpToDate>false</LinksUpToDate>
  <CharactersWithSpaces>30679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昀珊 李</dc:creator>
  <cp:keywords/>
  <dc:description/>
  <cp:lastModifiedBy>昀珊 李</cp:lastModifiedBy>
  <cp:revision>27</cp:revision>
  <dcterms:created xsi:type="dcterms:W3CDTF">2026-04-28T15:21:00Z</dcterms:created>
  <dcterms:modified xsi:type="dcterms:W3CDTF">2026-04-29T01:53:00Z</dcterms:modified>
</cp:coreProperties>
</file>