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20B0DBE1" w:rsidR="00173D25" w:rsidRPr="0063512E" w:rsidRDefault="006858F3" w:rsidP="0063512E">
      <w:pPr>
        <w:pBdr>
          <w:top w:val="nil"/>
          <w:left w:val="nil"/>
          <w:bottom w:val="nil"/>
          <w:right w:val="nil"/>
          <w:between w:val="nil"/>
        </w:pBdr>
        <w:spacing w:before="240" w:after="300" w:line="288" w:lineRule="auto"/>
        <w:jc w:val="center"/>
        <w:rPr>
          <w:rFonts w:ascii="Times New Roman" w:eastAsia="Times" w:hAnsi="Times New Roman" w:cstheme="minorBidi"/>
          <w:b/>
          <w:bCs/>
          <w:sz w:val="28"/>
          <w:szCs w:val="28"/>
          <w:cs/>
        </w:rPr>
      </w:pPr>
      <w:bookmarkStart w:id="0" w:name="OLE_LINK3"/>
      <w:bookmarkStart w:id="1" w:name="OLE_LINK8"/>
      <w:bookmarkStart w:id="2" w:name="OLE_LINK2"/>
      <w:bookmarkStart w:id="3" w:name="OLE_LINK6"/>
      <w:r w:rsidRPr="002C0C6C">
        <w:rPr>
          <w:rFonts w:ascii="Times New Roman" w:eastAsia="Times" w:hAnsi="Times New Roman" w:cs="Times New Roman"/>
          <w:b/>
          <w:bCs/>
          <w:sz w:val="28"/>
          <w:szCs w:val="28"/>
        </w:rPr>
        <w:t>Construction of China-ASEAN Vocational Education Community under the Background of China Western Development in the New Era</w:t>
      </w:r>
    </w:p>
    <w:bookmarkEnd w:id="0"/>
    <w:p w14:paraId="00000003" w14:textId="77777777" w:rsidR="00173D25" w:rsidRPr="0049613B" w:rsidRDefault="006858F3">
      <w:pPr>
        <w:pBdr>
          <w:top w:val="nil"/>
          <w:left w:val="nil"/>
          <w:bottom w:val="nil"/>
          <w:right w:val="nil"/>
          <w:between w:val="nil"/>
        </w:pBdr>
        <w:jc w:val="right"/>
        <w:rPr>
          <w:rFonts w:ascii="Times New Roman" w:eastAsia="Times" w:hAnsi="Times New Roman" w:cs="Times New Roman"/>
          <w:sz w:val="24"/>
          <w:szCs w:val="24"/>
          <w:vertAlign w:val="superscript"/>
        </w:rPr>
      </w:pPr>
      <w:r w:rsidRPr="0049613B">
        <w:rPr>
          <w:rFonts w:ascii="Times New Roman" w:eastAsia="Times" w:hAnsi="Times New Roman" w:cs="Times New Roman"/>
          <w:sz w:val="24"/>
          <w:szCs w:val="24"/>
        </w:rPr>
        <w:t>Lan Yan</w:t>
      </w:r>
      <w:r w:rsidRPr="0049613B">
        <w:rPr>
          <w:rFonts w:ascii="Times New Roman" w:eastAsia="Times" w:hAnsi="Times New Roman" w:cs="Times New Roman"/>
          <w:sz w:val="24"/>
          <w:szCs w:val="24"/>
          <w:vertAlign w:val="superscript"/>
        </w:rPr>
        <w:t>1</w:t>
      </w:r>
      <w:r w:rsidRPr="0049613B">
        <w:rPr>
          <w:rFonts w:ascii="Times New Roman" w:eastAsia="Times" w:hAnsi="Times New Roman" w:cs="Times New Roman"/>
          <w:sz w:val="24"/>
          <w:szCs w:val="24"/>
        </w:rPr>
        <w:t>, Wei Jianxun</w:t>
      </w:r>
      <w:r w:rsidRPr="0049613B">
        <w:rPr>
          <w:rFonts w:ascii="Times New Roman" w:eastAsia="Times" w:hAnsi="Times New Roman" w:cs="Times New Roman"/>
          <w:sz w:val="24"/>
          <w:szCs w:val="24"/>
          <w:vertAlign w:val="superscript"/>
        </w:rPr>
        <w:t>1</w:t>
      </w:r>
      <w:r w:rsidRPr="0049613B">
        <w:rPr>
          <w:rFonts w:ascii="Times New Roman" w:eastAsia="Times" w:hAnsi="Times New Roman" w:cs="Times New Roman"/>
          <w:sz w:val="24"/>
          <w:szCs w:val="24"/>
        </w:rPr>
        <w:t xml:space="preserve">, </w:t>
      </w:r>
      <w:proofErr w:type="spellStart"/>
      <w:r w:rsidRPr="0049613B">
        <w:rPr>
          <w:rFonts w:ascii="Times New Roman" w:eastAsia="Times" w:hAnsi="Times New Roman" w:cs="Times New Roman"/>
          <w:sz w:val="24"/>
          <w:szCs w:val="24"/>
        </w:rPr>
        <w:t>Saravudh</w:t>
      </w:r>
      <w:proofErr w:type="spellEnd"/>
      <w:r w:rsidRPr="0049613B">
        <w:rPr>
          <w:rFonts w:ascii="Times New Roman" w:eastAsia="Times" w:hAnsi="Times New Roman" w:cs="Times New Roman"/>
          <w:sz w:val="24"/>
          <w:szCs w:val="24"/>
        </w:rPr>
        <w:t xml:space="preserve"> Thaisanguanvorakul</w:t>
      </w:r>
      <w:r w:rsidRPr="0049613B">
        <w:rPr>
          <w:rFonts w:ascii="Times New Roman" w:eastAsia="Times" w:hAnsi="Times New Roman" w:cs="Times New Roman"/>
          <w:sz w:val="24"/>
          <w:szCs w:val="24"/>
          <w:vertAlign w:val="superscript"/>
        </w:rPr>
        <w:t>2*</w:t>
      </w:r>
      <w:r w:rsidRPr="0049613B">
        <w:rPr>
          <w:rFonts w:ascii="Times New Roman" w:eastAsia="Times" w:hAnsi="Times New Roman" w:cs="Times New Roman"/>
          <w:sz w:val="24"/>
          <w:szCs w:val="24"/>
        </w:rPr>
        <w:t xml:space="preserve">, Nguyen </w:t>
      </w:r>
      <w:proofErr w:type="spellStart"/>
      <w:r w:rsidRPr="0049613B">
        <w:rPr>
          <w:rFonts w:ascii="Times New Roman" w:eastAsia="Times" w:hAnsi="Times New Roman" w:cs="Times New Roman"/>
          <w:sz w:val="24"/>
          <w:szCs w:val="24"/>
        </w:rPr>
        <w:t>Duy</w:t>
      </w:r>
      <w:proofErr w:type="spellEnd"/>
      <w:r w:rsidRPr="0049613B">
        <w:rPr>
          <w:rFonts w:ascii="Times New Roman" w:eastAsia="Times" w:hAnsi="Times New Roman" w:cs="Times New Roman"/>
          <w:sz w:val="24"/>
          <w:szCs w:val="24"/>
        </w:rPr>
        <w:t xml:space="preserve"> Quyet</w:t>
      </w:r>
      <w:r w:rsidRPr="0049613B">
        <w:rPr>
          <w:rFonts w:ascii="Times New Roman" w:eastAsia="Times" w:hAnsi="Times New Roman" w:cs="Times New Roman"/>
          <w:sz w:val="24"/>
          <w:szCs w:val="24"/>
          <w:vertAlign w:val="superscript"/>
        </w:rPr>
        <w:t>3</w:t>
      </w:r>
      <w:r w:rsidRPr="0049613B">
        <w:rPr>
          <w:rFonts w:ascii="Times New Roman" w:eastAsia="Times" w:hAnsi="Times New Roman" w:cs="Times New Roman"/>
          <w:sz w:val="24"/>
          <w:szCs w:val="24"/>
        </w:rPr>
        <w:t xml:space="preserve">, </w:t>
      </w:r>
      <w:proofErr w:type="spellStart"/>
      <w:r w:rsidRPr="0049613B">
        <w:rPr>
          <w:rFonts w:ascii="Times New Roman" w:eastAsia="Times" w:hAnsi="Times New Roman" w:cs="Times New Roman"/>
          <w:sz w:val="24"/>
          <w:szCs w:val="24"/>
        </w:rPr>
        <w:t>Dinh</w:t>
      </w:r>
      <w:proofErr w:type="spellEnd"/>
      <w:r w:rsidRPr="0049613B">
        <w:rPr>
          <w:rFonts w:ascii="Times New Roman" w:eastAsia="Times" w:hAnsi="Times New Roman" w:cs="Times New Roman"/>
          <w:sz w:val="24"/>
          <w:szCs w:val="24"/>
        </w:rPr>
        <w:t xml:space="preserve"> </w:t>
      </w:r>
      <w:proofErr w:type="spellStart"/>
      <w:r w:rsidRPr="0049613B">
        <w:rPr>
          <w:rFonts w:ascii="Times New Roman" w:eastAsia="Times" w:hAnsi="Times New Roman" w:cs="Times New Roman"/>
          <w:sz w:val="24"/>
          <w:szCs w:val="24"/>
        </w:rPr>
        <w:t>Thi</w:t>
      </w:r>
      <w:proofErr w:type="spellEnd"/>
      <w:r w:rsidRPr="0049613B">
        <w:rPr>
          <w:rFonts w:ascii="Times New Roman" w:eastAsia="Times" w:hAnsi="Times New Roman" w:cs="Times New Roman"/>
          <w:sz w:val="24"/>
          <w:szCs w:val="24"/>
        </w:rPr>
        <w:t xml:space="preserve"> Uyen</w:t>
      </w:r>
      <w:r w:rsidRPr="0049613B">
        <w:rPr>
          <w:rFonts w:ascii="Times New Roman" w:eastAsia="Times" w:hAnsi="Times New Roman" w:cs="Times New Roman"/>
          <w:sz w:val="24"/>
          <w:szCs w:val="24"/>
          <w:vertAlign w:val="superscript"/>
        </w:rPr>
        <w:t>3</w:t>
      </w:r>
    </w:p>
    <w:p w14:paraId="00000004" w14:textId="624AA3EA" w:rsidR="00173D25" w:rsidRPr="0049613B" w:rsidRDefault="006858F3">
      <w:pPr>
        <w:pBdr>
          <w:top w:val="nil"/>
          <w:left w:val="nil"/>
          <w:bottom w:val="nil"/>
          <w:right w:val="nil"/>
          <w:between w:val="nil"/>
        </w:pBdr>
        <w:jc w:val="right"/>
        <w:rPr>
          <w:rFonts w:ascii="Times New Roman" w:eastAsia="Times" w:hAnsi="Times New Roman" w:cs="Times New Roman"/>
          <w:sz w:val="24"/>
          <w:szCs w:val="24"/>
        </w:rPr>
      </w:pPr>
      <w:r w:rsidRPr="0049613B">
        <w:rPr>
          <w:rFonts w:ascii="Times New Roman" w:eastAsia="Times" w:hAnsi="Times New Roman" w:cs="Times New Roman"/>
          <w:sz w:val="24"/>
          <w:szCs w:val="24"/>
          <w:vertAlign w:val="superscript"/>
        </w:rPr>
        <w:t>1</w:t>
      </w:r>
      <w:r w:rsidR="00BA2436" w:rsidRPr="0049613B">
        <w:rPr>
          <w:rFonts w:ascii="Times New Roman" w:eastAsia="Times" w:hAnsi="Times New Roman" w:cs="Times New Roman"/>
          <w:sz w:val="24"/>
          <w:szCs w:val="24"/>
        </w:rPr>
        <w:t>Guangxi College of Sports Education</w:t>
      </w:r>
      <w:r w:rsidRPr="0049613B">
        <w:rPr>
          <w:rFonts w:ascii="Times New Roman" w:eastAsia="Times" w:hAnsi="Times New Roman" w:cs="Times New Roman"/>
          <w:sz w:val="24"/>
          <w:szCs w:val="24"/>
        </w:rPr>
        <w:t>, China</w:t>
      </w:r>
    </w:p>
    <w:p w14:paraId="00000005" w14:textId="647937BE" w:rsidR="00173D25" w:rsidRPr="0049613B" w:rsidRDefault="006858F3">
      <w:pPr>
        <w:pBdr>
          <w:top w:val="nil"/>
          <w:left w:val="nil"/>
          <w:bottom w:val="nil"/>
          <w:right w:val="nil"/>
          <w:between w:val="nil"/>
        </w:pBdr>
        <w:jc w:val="right"/>
        <w:rPr>
          <w:rFonts w:ascii="Times New Roman" w:eastAsia="Times" w:hAnsi="Times New Roman" w:cs="Times New Roman"/>
          <w:sz w:val="24"/>
          <w:szCs w:val="24"/>
        </w:rPr>
      </w:pPr>
      <w:bookmarkStart w:id="4" w:name="_Hlk228303420"/>
      <w:r w:rsidRPr="0049613B">
        <w:rPr>
          <w:rFonts w:ascii="Times New Roman" w:eastAsia="Times" w:hAnsi="Times New Roman" w:cs="Times New Roman"/>
          <w:sz w:val="24"/>
          <w:szCs w:val="24"/>
          <w:vertAlign w:val="superscript"/>
        </w:rPr>
        <w:t>2</w:t>
      </w:r>
      <w:r w:rsidRPr="0049613B">
        <w:rPr>
          <w:rFonts w:ascii="Times New Roman" w:eastAsia="Times" w:hAnsi="Times New Roman" w:cs="Times New Roman"/>
          <w:sz w:val="24"/>
          <w:szCs w:val="24"/>
        </w:rPr>
        <w:t xml:space="preserve">Thailand National Sports University </w:t>
      </w:r>
      <w:bookmarkEnd w:id="4"/>
      <w:r w:rsidRPr="0049613B">
        <w:rPr>
          <w:rFonts w:ascii="Times New Roman" w:eastAsia="Times" w:hAnsi="Times New Roman" w:cs="Times New Roman"/>
          <w:sz w:val="24"/>
          <w:szCs w:val="24"/>
        </w:rPr>
        <w:t>Chiang Mai Campus, Thailand</w:t>
      </w:r>
    </w:p>
    <w:p w14:paraId="00000006" w14:textId="77777777" w:rsidR="00173D25" w:rsidRPr="0049613B" w:rsidRDefault="006858F3">
      <w:pPr>
        <w:pBdr>
          <w:top w:val="nil"/>
          <w:left w:val="nil"/>
          <w:bottom w:val="nil"/>
          <w:right w:val="nil"/>
          <w:between w:val="nil"/>
        </w:pBdr>
        <w:spacing w:after="450"/>
        <w:jc w:val="right"/>
        <w:rPr>
          <w:rFonts w:ascii="Times New Roman" w:eastAsia="Times" w:hAnsi="Times New Roman" w:cs="Times New Roman"/>
          <w:sz w:val="24"/>
          <w:szCs w:val="24"/>
        </w:rPr>
      </w:pPr>
      <w:r w:rsidRPr="0049613B">
        <w:rPr>
          <w:rFonts w:ascii="Times New Roman" w:eastAsia="Times" w:hAnsi="Times New Roman" w:cs="Times New Roman"/>
          <w:sz w:val="24"/>
          <w:szCs w:val="24"/>
          <w:vertAlign w:val="superscript"/>
        </w:rPr>
        <w:t>3</w:t>
      </w:r>
      <w:r w:rsidRPr="0049613B">
        <w:rPr>
          <w:rFonts w:ascii="Times New Roman" w:eastAsia="Times" w:hAnsi="Times New Roman" w:cs="Times New Roman"/>
          <w:sz w:val="24"/>
          <w:szCs w:val="24"/>
        </w:rPr>
        <w:t>Hanoi University of Physical Education and Sports, Vietnam</w:t>
      </w:r>
    </w:p>
    <w:p w14:paraId="00000008" w14:textId="77777777" w:rsidR="00173D25" w:rsidRPr="00BE6606" w:rsidRDefault="006858F3">
      <w:pPr>
        <w:pBdr>
          <w:top w:val="nil"/>
          <w:left w:val="nil"/>
          <w:bottom w:val="nil"/>
          <w:right w:val="nil"/>
          <w:between w:val="nil"/>
        </w:pBdr>
        <w:spacing w:before="225" w:after="225"/>
        <w:rPr>
          <w:rFonts w:ascii="Times New Roman" w:eastAsia="Times" w:hAnsi="Times New Roman" w:cstheme="minorBidi"/>
          <w:b/>
          <w:bCs/>
          <w:sz w:val="24"/>
          <w:szCs w:val="24"/>
          <w:cs/>
        </w:rPr>
      </w:pPr>
      <w:bookmarkStart w:id="5" w:name="OLE_LINK9"/>
      <w:r w:rsidRPr="002C0C6C">
        <w:rPr>
          <w:rFonts w:ascii="Times New Roman" w:eastAsia="Times" w:hAnsi="Times New Roman" w:cs="Times New Roman"/>
          <w:b/>
          <w:bCs/>
          <w:sz w:val="24"/>
          <w:szCs w:val="24"/>
        </w:rPr>
        <w:t>Abstract</w:t>
      </w:r>
    </w:p>
    <w:p w14:paraId="6EC0AECC" w14:textId="617911DE" w:rsidR="00753CEC" w:rsidRPr="00FC2A53" w:rsidRDefault="00753CEC" w:rsidP="00FC2A53">
      <w:pPr>
        <w:pBdr>
          <w:top w:val="nil"/>
          <w:left w:val="nil"/>
          <w:bottom w:val="nil"/>
          <w:right w:val="nil"/>
          <w:between w:val="nil"/>
        </w:pBdr>
        <w:spacing w:line="360" w:lineRule="auto"/>
        <w:ind w:firstLine="720"/>
        <w:jc w:val="both"/>
        <w:rPr>
          <w:rFonts w:ascii="Times New Roman" w:eastAsia="Times" w:hAnsi="Times New Roman" w:cs="Times New Roman"/>
          <w:sz w:val="24"/>
          <w:szCs w:val="24"/>
        </w:rPr>
      </w:pPr>
      <w:r w:rsidRPr="00753CEC">
        <w:rPr>
          <w:rFonts w:ascii="Times New Roman" w:eastAsia="Times" w:hAnsi="Times New Roman" w:cs="Times New Roman"/>
          <w:sz w:val="24"/>
          <w:szCs w:val="24"/>
        </w:rPr>
        <w:t>This research provides a comprehensive and critical examination of the strategic construction of a China-ASEAN vocational education community, framed within China’s "Western Development" strategy in the new era. As regional integration accelerates under the Belt and Road Initiative, vocational education—particularly in sports and physical health—has become a cornerstone for socio-economic synergy. By employing systematic literature reviews, empirical data from National Higher Vocational Quality Reports, and qualitative case studies of "Double High Plan" institutions, this study uncovers the structural intricacies of regional cooperation.</w:t>
      </w:r>
    </w:p>
    <w:p w14:paraId="0000000A" w14:textId="6CBC3773" w:rsidR="00173D25" w:rsidRPr="00E05E02" w:rsidRDefault="00753CEC" w:rsidP="00E05E02">
      <w:pPr>
        <w:pBdr>
          <w:top w:val="nil"/>
          <w:left w:val="nil"/>
          <w:bottom w:val="nil"/>
          <w:right w:val="nil"/>
          <w:between w:val="nil"/>
        </w:pBdr>
        <w:spacing w:after="225" w:line="360" w:lineRule="auto"/>
        <w:ind w:firstLine="720"/>
        <w:jc w:val="both"/>
        <w:rPr>
          <w:rFonts w:ascii="Times New Roman" w:eastAsia="Times" w:hAnsi="Times New Roman" w:cs="Times New Roman"/>
          <w:sz w:val="24"/>
          <w:szCs w:val="24"/>
        </w:rPr>
      </w:pPr>
      <w:r w:rsidRPr="00753CEC">
        <w:rPr>
          <w:rFonts w:ascii="Times New Roman" w:eastAsia="Times" w:hAnsi="Times New Roman" w:cs="Times New Roman"/>
          <w:sz w:val="24"/>
          <w:szCs w:val="24"/>
        </w:rPr>
        <w:t>The findings indicate that while the political landscape supports trilateral engagement between China, Thailand, and Vietnam, the "Degree Ceiling" for sports vocational graduates persists due to limited domestic pathways for progression. To mitigate these barriers, the study proposes a trilateral cooperation model. A key component is the establishment of the International Student Affairs Office at the Thailand National Sports University (TNSU) and the Hanoi University of Physical Education and Sports (HUPES) to manage academic mobility and provide specialized "Top-up" Bachelor’s degree programs, establishing a solid foundation for advanced postgraduate opportunities and a seamless educational corridor. This research serves as a policy roadmap for a sustainable and high-quality vocational ecosystem in the region.</w:t>
      </w:r>
    </w:p>
    <w:bookmarkEnd w:id="5"/>
    <w:p w14:paraId="0000000B" w14:textId="7CAF6D80" w:rsidR="00173D25" w:rsidRDefault="006858F3">
      <w:pPr>
        <w:pBdr>
          <w:top w:val="nil"/>
          <w:left w:val="nil"/>
          <w:bottom w:val="nil"/>
          <w:right w:val="nil"/>
          <w:between w:val="nil"/>
        </w:pBdr>
        <w:rPr>
          <w:rFonts w:ascii="Times New Roman" w:eastAsia="Times" w:hAnsi="Times New Roman" w:cs="Times New Roman"/>
          <w:sz w:val="24"/>
          <w:szCs w:val="24"/>
        </w:rPr>
      </w:pPr>
      <w:r w:rsidRPr="00E05E02">
        <w:rPr>
          <w:rFonts w:ascii="Times New Roman" w:eastAsia="Times" w:hAnsi="Times New Roman" w:cs="Times New Roman"/>
          <w:b/>
          <w:bCs/>
          <w:sz w:val="24"/>
          <w:szCs w:val="24"/>
        </w:rPr>
        <w:t>Keywords:</w:t>
      </w:r>
      <w:r w:rsidRPr="00E05E02">
        <w:rPr>
          <w:rFonts w:ascii="Times New Roman" w:eastAsia="Times" w:hAnsi="Times New Roman" w:cs="Times New Roman"/>
          <w:sz w:val="24"/>
          <w:szCs w:val="24"/>
        </w:rPr>
        <w:t xml:space="preserve"> </w:t>
      </w:r>
      <w:r w:rsidR="00E05E02" w:rsidRPr="00E05E02">
        <w:rPr>
          <w:rFonts w:ascii="Times New Roman" w:eastAsia="Times" w:hAnsi="Times New Roman" w:cs="Times New Roman"/>
          <w:sz w:val="24"/>
          <w:szCs w:val="24"/>
        </w:rPr>
        <w:t>Vocational education community</w:t>
      </w:r>
      <w:r w:rsidRPr="00E05E02">
        <w:rPr>
          <w:rFonts w:ascii="Times New Roman" w:eastAsia="Times" w:hAnsi="Times New Roman" w:cs="Times New Roman"/>
          <w:sz w:val="24"/>
          <w:szCs w:val="24"/>
        </w:rPr>
        <w:t xml:space="preserve">; </w:t>
      </w:r>
      <w:r w:rsidR="00E05E02" w:rsidRPr="00E05E02">
        <w:rPr>
          <w:rFonts w:ascii="Times New Roman" w:eastAsia="Times" w:hAnsi="Times New Roman" w:cs="Times New Roman"/>
          <w:sz w:val="24"/>
          <w:szCs w:val="24"/>
        </w:rPr>
        <w:t>China-ASEAN cooperation</w:t>
      </w:r>
      <w:r w:rsidRPr="00E05E02">
        <w:rPr>
          <w:rFonts w:ascii="Times New Roman" w:eastAsia="Times" w:hAnsi="Times New Roman" w:cs="Times New Roman"/>
          <w:sz w:val="24"/>
          <w:szCs w:val="24"/>
        </w:rPr>
        <w:t xml:space="preserve">; </w:t>
      </w:r>
      <w:r w:rsidR="00E05E02" w:rsidRPr="00E05E02">
        <w:rPr>
          <w:rFonts w:ascii="Times New Roman" w:eastAsia="Times" w:hAnsi="Times New Roman" w:cs="Times New Roman"/>
          <w:sz w:val="24"/>
          <w:szCs w:val="24"/>
        </w:rPr>
        <w:t>Western China Development</w:t>
      </w:r>
      <w:r w:rsidRPr="00E05E02">
        <w:rPr>
          <w:rFonts w:ascii="Times New Roman" w:eastAsia="Times" w:hAnsi="Times New Roman" w:cs="Times New Roman"/>
          <w:sz w:val="24"/>
          <w:szCs w:val="24"/>
        </w:rPr>
        <w:t xml:space="preserve">; </w:t>
      </w:r>
      <w:r w:rsidR="00E05E02" w:rsidRPr="00E05E02">
        <w:rPr>
          <w:rFonts w:ascii="Times New Roman" w:eastAsia="Times" w:hAnsi="Times New Roman" w:cs="Times New Roman"/>
          <w:sz w:val="24"/>
          <w:szCs w:val="24"/>
        </w:rPr>
        <w:t>International student management</w:t>
      </w:r>
      <w:r w:rsidRPr="00E05E02">
        <w:rPr>
          <w:rFonts w:ascii="Times New Roman" w:eastAsia="Times" w:hAnsi="Times New Roman" w:cs="Times New Roman"/>
          <w:sz w:val="24"/>
          <w:szCs w:val="24"/>
        </w:rPr>
        <w:t xml:space="preserve">; </w:t>
      </w:r>
      <w:r w:rsidR="00E05E02" w:rsidRPr="00E05E02">
        <w:rPr>
          <w:rFonts w:ascii="Times New Roman" w:eastAsia="Times" w:hAnsi="Times New Roman" w:cs="Times New Roman"/>
          <w:sz w:val="24"/>
          <w:szCs w:val="24"/>
        </w:rPr>
        <w:t>Top-up bachelor’s program</w:t>
      </w:r>
    </w:p>
    <w:p w14:paraId="7108D15E" w14:textId="7A54E560" w:rsidR="00FC2A53" w:rsidRDefault="00FC2A53">
      <w:pPr>
        <w:pBdr>
          <w:top w:val="nil"/>
          <w:left w:val="nil"/>
          <w:bottom w:val="nil"/>
          <w:right w:val="nil"/>
          <w:between w:val="nil"/>
        </w:pBdr>
        <w:rPr>
          <w:rFonts w:ascii="Times New Roman" w:eastAsia="Times" w:hAnsi="Times New Roman" w:cs="Times New Roman"/>
          <w:sz w:val="24"/>
          <w:szCs w:val="24"/>
        </w:rPr>
      </w:pPr>
    </w:p>
    <w:p w14:paraId="25F0992D" w14:textId="77777777" w:rsidR="00FC2A53" w:rsidRDefault="00FC2A53">
      <w:pPr>
        <w:pBdr>
          <w:top w:val="nil"/>
          <w:left w:val="nil"/>
          <w:bottom w:val="nil"/>
          <w:right w:val="nil"/>
          <w:between w:val="nil"/>
        </w:pBdr>
        <w:rPr>
          <w:rFonts w:ascii="Times New Roman" w:eastAsia="Times" w:hAnsi="Times New Roman" w:cs="Times New Roman"/>
          <w:sz w:val="24"/>
          <w:szCs w:val="24"/>
        </w:rPr>
      </w:pPr>
    </w:p>
    <w:p w14:paraId="6AF695F9" w14:textId="0B0D7C2B" w:rsidR="00E05E02" w:rsidRPr="00E05E02" w:rsidRDefault="00E05E02">
      <w:pPr>
        <w:pBdr>
          <w:top w:val="nil"/>
          <w:left w:val="nil"/>
          <w:bottom w:val="single" w:sz="6" w:space="1" w:color="auto"/>
          <w:right w:val="nil"/>
          <w:between w:val="nil"/>
        </w:pBdr>
        <w:rPr>
          <w:rFonts w:ascii="Times New Roman" w:eastAsia="Times" w:hAnsi="Times New Roman" w:cstheme="minorBidi"/>
          <w:sz w:val="24"/>
          <w:szCs w:val="24"/>
          <w:cs/>
        </w:rPr>
      </w:pPr>
    </w:p>
    <w:p w14:paraId="31970E54" w14:textId="77777777" w:rsidR="00E05E02" w:rsidRPr="00E05E02" w:rsidRDefault="00E05E02">
      <w:pPr>
        <w:pBdr>
          <w:left w:val="nil"/>
          <w:bottom w:val="nil"/>
          <w:right w:val="nil"/>
          <w:between w:val="nil"/>
        </w:pBdr>
        <w:rPr>
          <w:rFonts w:ascii="Times New Roman" w:eastAsia="Times" w:hAnsi="Times New Roman" w:cs="Times New Roman"/>
          <w:sz w:val="24"/>
          <w:szCs w:val="24"/>
        </w:rPr>
      </w:pPr>
    </w:p>
    <w:p w14:paraId="00000010" w14:textId="2713A16B" w:rsidR="00173D25" w:rsidRPr="00E05E02" w:rsidRDefault="006858F3" w:rsidP="00E05E02">
      <w:pPr>
        <w:pBdr>
          <w:top w:val="nil"/>
          <w:left w:val="nil"/>
          <w:bottom w:val="nil"/>
          <w:right w:val="nil"/>
          <w:between w:val="nil"/>
        </w:pBdr>
        <w:spacing w:line="288" w:lineRule="auto"/>
        <w:rPr>
          <w:rFonts w:ascii="Times New Roman" w:eastAsia="Times" w:hAnsi="Times New Roman" w:cs="Times New Roman"/>
          <w:sz w:val="24"/>
          <w:szCs w:val="24"/>
        </w:rPr>
      </w:pPr>
      <w:r w:rsidRPr="00E05E02">
        <w:rPr>
          <w:rFonts w:ascii="Times New Roman" w:eastAsia="Times" w:hAnsi="Times New Roman" w:cs="Times New Roman"/>
          <w:b/>
          <w:bCs/>
          <w:sz w:val="24"/>
          <w:szCs w:val="24"/>
        </w:rPr>
        <w:t>Corresponding Author:</w:t>
      </w:r>
      <w:r w:rsidRPr="00E05E02">
        <w:rPr>
          <w:rFonts w:ascii="Times New Roman" w:eastAsia="Times" w:hAnsi="Times New Roman" w:cs="Times New Roman"/>
          <w:sz w:val="24"/>
          <w:szCs w:val="24"/>
        </w:rPr>
        <w:t xml:space="preserve"> </w:t>
      </w:r>
      <w:proofErr w:type="spellStart"/>
      <w:r w:rsidRPr="00E05E02">
        <w:rPr>
          <w:rFonts w:ascii="Times New Roman" w:eastAsia="Times" w:hAnsi="Times New Roman" w:cs="Times New Roman"/>
          <w:sz w:val="24"/>
          <w:szCs w:val="24"/>
        </w:rPr>
        <w:t>Saravudh</w:t>
      </w:r>
      <w:proofErr w:type="spellEnd"/>
      <w:r w:rsidRPr="00E05E02">
        <w:rPr>
          <w:rFonts w:ascii="Times New Roman" w:eastAsia="Times" w:hAnsi="Times New Roman" w:cs="Times New Roman"/>
          <w:sz w:val="24"/>
          <w:szCs w:val="24"/>
        </w:rPr>
        <w:t xml:space="preserve"> </w:t>
      </w:r>
      <w:proofErr w:type="spellStart"/>
      <w:r w:rsidRPr="00E05E02">
        <w:rPr>
          <w:rFonts w:ascii="Times New Roman" w:eastAsia="Times" w:hAnsi="Times New Roman" w:cs="Times New Roman"/>
          <w:sz w:val="24"/>
          <w:szCs w:val="24"/>
        </w:rPr>
        <w:t>Thaisanguanvorakul</w:t>
      </w:r>
      <w:proofErr w:type="spellEnd"/>
      <w:r w:rsidR="00E05E02">
        <w:rPr>
          <w:rFonts w:ascii="Times New Roman" w:eastAsia="Times" w:hAnsi="Times New Roman" w:cs="Times New Roman"/>
          <w:sz w:val="24"/>
          <w:szCs w:val="24"/>
        </w:rPr>
        <w:t xml:space="preserve">, </w:t>
      </w:r>
      <w:r w:rsidRPr="00E05E02">
        <w:rPr>
          <w:rFonts w:ascii="Times New Roman" w:eastAsia="Times" w:hAnsi="Times New Roman" w:cs="Times New Roman"/>
          <w:sz w:val="24"/>
          <w:szCs w:val="24"/>
        </w:rPr>
        <w:t>Faculty of Education, Thailand National Sports University Chiang Mai Campus, Thailand</w:t>
      </w:r>
      <w:r w:rsidR="00344A29">
        <w:rPr>
          <w:rFonts w:ascii="Times New Roman" w:eastAsia="Times" w:hAnsi="Times New Roman" w:cs="Times New Roman"/>
          <w:sz w:val="24"/>
          <w:szCs w:val="24"/>
        </w:rPr>
        <w:t>.</w:t>
      </w:r>
      <w:r w:rsidR="00E05E02">
        <w:rPr>
          <w:rFonts w:ascii="Times New Roman" w:eastAsia="Times" w:hAnsi="Times New Roman" w:cs="Times New Roman"/>
          <w:sz w:val="24"/>
          <w:szCs w:val="24"/>
        </w:rPr>
        <w:t xml:space="preserve"> </w:t>
      </w:r>
      <w:r w:rsidRPr="00344A29">
        <w:rPr>
          <w:rFonts w:ascii="Times New Roman" w:eastAsia="Times" w:hAnsi="Times New Roman" w:cs="Times New Roman"/>
          <w:b/>
          <w:bCs/>
          <w:sz w:val="24"/>
          <w:szCs w:val="24"/>
        </w:rPr>
        <w:t>Email:</w:t>
      </w:r>
      <w:r w:rsidRPr="00E05E02">
        <w:rPr>
          <w:rFonts w:ascii="Times New Roman" w:eastAsia="Times" w:hAnsi="Times New Roman" w:cs="Times New Roman"/>
          <w:sz w:val="24"/>
          <w:szCs w:val="24"/>
        </w:rPr>
        <w:t xml:space="preserve"> thaimount@protonmail.com</w:t>
      </w:r>
    </w:p>
    <w:p w14:paraId="00000011" w14:textId="77777777" w:rsidR="00173D25" w:rsidRPr="002C0C6C" w:rsidRDefault="006858F3">
      <w:pPr>
        <w:pBdr>
          <w:top w:val="nil"/>
          <w:left w:val="nil"/>
          <w:bottom w:val="nil"/>
          <w:right w:val="nil"/>
          <w:between w:val="nil"/>
        </w:pBdr>
        <w:spacing w:before="225" w:after="225"/>
        <w:rPr>
          <w:rFonts w:ascii="Times New Roman" w:eastAsia="Times" w:hAnsi="Times New Roman" w:cs="Times New Roman"/>
          <w:b/>
          <w:bCs/>
          <w:sz w:val="24"/>
          <w:szCs w:val="24"/>
        </w:rPr>
      </w:pPr>
      <w:r w:rsidRPr="002C0C6C">
        <w:rPr>
          <w:rFonts w:ascii="Times New Roman" w:eastAsia="Times" w:hAnsi="Times New Roman" w:cs="Times New Roman"/>
          <w:b/>
          <w:bCs/>
          <w:sz w:val="24"/>
          <w:szCs w:val="24"/>
        </w:rPr>
        <w:lastRenderedPageBreak/>
        <w:t>1. Introduction</w:t>
      </w:r>
    </w:p>
    <w:p w14:paraId="00000012" w14:textId="77777777" w:rsidR="00173D25" w:rsidRPr="002C0C6C" w:rsidRDefault="006858F3" w:rsidP="005B347D">
      <w:pPr>
        <w:pBdr>
          <w:top w:val="nil"/>
          <w:left w:val="nil"/>
          <w:bottom w:val="nil"/>
          <w:right w:val="nil"/>
          <w:between w:val="nil"/>
        </w:pBdr>
        <w:spacing w:line="360" w:lineRule="auto"/>
        <w:ind w:firstLine="72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Testing and evaluation are vital components in competitive sports, serving as cornerstones for evaluating athletes’ capabilities and refining training programs (</w:t>
      </w:r>
      <w:proofErr w:type="spellStart"/>
      <w:r w:rsidRPr="002C0C6C">
        <w:rPr>
          <w:rFonts w:ascii="Times New Roman" w:eastAsia="Times" w:hAnsi="Times New Roman" w:cs="Times New Roman"/>
          <w:sz w:val="24"/>
          <w:szCs w:val="24"/>
        </w:rPr>
        <w:t>Haff</w:t>
      </w:r>
      <w:proofErr w:type="spellEnd"/>
      <w:r w:rsidRPr="002C0C6C">
        <w:rPr>
          <w:rFonts w:ascii="Times New Roman" w:eastAsia="Times" w:hAnsi="Times New Roman" w:cs="Times New Roman"/>
          <w:sz w:val="24"/>
          <w:szCs w:val="24"/>
        </w:rPr>
        <w:t xml:space="preserve"> &amp; Triplett, 2021). Similarly, in the field of vocational education, the evaluation of institutional cooperation frameworks is essential for sustainable development. This study focuses on the China-ASEAN vocational education community, a strategic initiative under China’s Western Development policy.</w:t>
      </w:r>
    </w:p>
    <w:p w14:paraId="00000013" w14:textId="77777777" w:rsidR="00173D25" w:rsidRPr="002C0C6C" w:rsidRDefault="006858F3" w:rsidP="005B347D">
      <w:pPr>
        <w:pBdr>
          <w:top w:val="nil"/>
          <w:left w:val="nil"/>
          <w:bottom w:val="nil"/>
          <w:right w:val="nil"/>
          <w:between w:val="nil"/>
        </w:pBdr>
        <w:spacing w:line="360" w:lineRule="auto"/>
        <w:ind w:firstLine="72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Under China’s Western Development policy, economic and educational ties between China and ASEAN countries have grown significantly (Wang &amp; Li, 2021). Vocational education, especially in sports and physical education, plays a crucial role in talent development and people-to-people exchange. The integration of regional standards allows for a more fluid movement of expertise and labor, which is essential for the burgeoning sports industries in Southeast Asia and Western China.</w:t>
      </w:r>
    </w:p>
    <w:p w14:paraId="00000014" w14:textId="00E29E3A" w:rsidR="00173D25" w:rsidRPr="002C0C6C" w:rsidRDefault="006858F3" w:rsidP="005B347D">
      <w:pPr>
        <w:pBdr>
          <w:top w:val="nil"/>
          <w:left w:val="nil"/>
          <w:bottom w:val="nil"/>
          <w:right w:val="nil"/>
          <w:between w:val="nil"/>
        </w:pBdr>
        <w:spacing w:line="360" w:lineRule="auto"/>
        <w:ind w:firstLine="72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This study is based on the research project “Research on the Construction of China-ASEAN Vocational Education Community under the Background of China Western Development in the New Era” (Project No. ZGDMKT2021ZD014), funded by the China-ASEAN Vocational Education Research Center. The research team includes members from China (</w:t>
      </w:r>
      <w:r w:rsidR="00BA2436" w:rsidRPr="002C0C6C">
        <w:rPr>
          <w:rFonts w:ascii="Times New Roman" w:eastAsia="Times" w:hAnsi="Times New Roman" w:cs="Times New Roman"/>
          <w:sz w:val="24"/>
          <w:szCs w:val="24"/>
        </w:rPr>
        <w:t>Guangxi College of Sports Education</w:t>
      </w:r>
      <w:r w:rsidRPr="002C0C6C">
        <w:rPr>
          <w:rFonts w:ascii="Times New Roman" w:eastAsia="Times" w:hAnsi="Times New Roman" w:cs="Times New Roman"/>
          <w:sz w:val="24"/>
          <w:szCs w:val="24"/>
        </w:rPr>
        <w:t>), Thailand (Thailand National Sports University), and Vietnam (Hanoi University of Physical Education and Sports), who provided vocational education data from their respective countries (Lan &amp; Wang, 2023; Shi &amp; Lan, 2022).</w:t>
      </w:r>
    </w:p>
    <w:p w14:paraId="00000015" w14:textId="04D418D8" w:rsidR="00173D25" w:rsidRDefault="006858F3" w:rsidP="005B347D">
      <w:pPr>
        <w:pBdr>
          <w:top w:val="nil"/>
          <w:left w:val="nil"/>
          <w:bottom w:val="nil"/>
          <w:right w:val="nil"/>
          <w:between w:val="nil"/>
        </w:pBdr>
        <w:spacing w:line="360" w:lineRule="auto"/>
        <w:ind w:firstLine="72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Despite policy support, a key barrier remains: the lack of an operational coordination mechanism between Chinese and ASEAN institutions (</w:t>
      </w:r>
      <w:proofErr w:type="spellStart"/>
      <w:r w:rsidRPr="002C0C6C">
        <w:rPr>
          <w:rFonts w:ascii="Times New Roman" w:eastAsia="Times" w:hAnsi="Times New Roman" w:cs="Times New Roman"/>
          <w:sz w:val="24"/>
          <w:szCs w:val="24"/>
        </w:rPr>
        <w:t>Nie</w:t>
      </w:r>
      <w:proofErr w:type="spellEnd"/>
      <w:r w:rsidRPr="002C0C6C">
        <w:rPr>
          <w:rFonts w:ascii="Times New Roman" w:eastAsia="Times" w:hAnsi="Times New Roman" w:cs="Times New Roman"/>
          <w:sz w:val="24"/>
          <w:szCs w:val="24"/>
        </w:rPr>
        <w:t xml:space="preserve">, 2021). Moreover, associate degree graduates in Western Chinese vocational colleges struggle to find bachelor’s-level progression pathways (Lan &amp; Wang, 2023). According to Drinkwater, </w:t>
      </w:r>
      <w:proofErr w:type="spellStart"/>
      <w:r w:rsidRPr="002C0C6C">
        <w:rPr>
          <w:rFonts w:ascii="Times New Roman" w:eastAsia="Times" w:hAnsi="Times New Roman" w:cs="Times New Roman"/>
          <w:sz w:val="24"/>
          <w:szCs w:val="24"/>
        </w:rPr>
        <w:t>Pyne</w:t>
      </w:r>
      <w:proofErr w:type="spellEnd"/>
      <w:r w:rsidRPr="002C0C6C">
        <w:rPr>
          <w:rFonts w:ascii="Times New Roman" w:eastAsia="Times" w:hAnsi="Times New Roman" w:cs="Times New Roman"/>
          <w:sz w:val="24"/>
          <w:szCs w:val="24"/>
        </w:rPr>
        <w:t xml:space="preserve">, and Mckenna (2008), the design and interpretation of fitness testing requires careful consideration of athlete populations. Similarly, the design of vocational education cooperation frameworks requires consideration of institutional differences across countries. </w:t>
      </w:r>
      <w:proofErr w:type="spellStart"/>
      <w:r w:rsidRPr="002C0C6C">
        <w:rPr>
          <w:rFonts w:ascii="Times New Roman" w:eastAsia="Times" w:hAnsi="Times New Roman" w:cs="Times New Roman"/>
          <w:sz w:val="24"/>
          <w:szCs w:val="24"/>
        </w:rPr>
        <w:t>Glassbrook</w:t>
      </w:r>
      <w:proofErr w:type="spellEnd"/>
      <w:r w:rsidRPr="002C0C6C">
        <w:rPr>
          <w:rFonts w:ascii="Times New Roman" w:eastAsia="Times" w:hAnsi="Times New Roman" w:cs="Times New Roman"/>
          <w:sz w:val="24"/>
          <w:szCs w:val="24"/>
        </w:rPr>
        <w:t xml:space="preserve"> et al. (2022) emphasized that performance tests must account for practical needs and differences among athletes—a principle equally applicable to institutional cooperation (</w:t>
      </w:r>
      <w:proofErr w:type="spellStart"/>
      <w:r w:rsidRPr="002C0C6C">
        <w:rPr>
          <w:rFonts w:ascii="Times New Roman" w:eastAsia="Times" w:hAnsi="Times New Roman" w:cs="Times New Roman"/>
          <w:sz w:val="24"/>
          <w:szCs w:val="24"/>
        </w:rPr>
        <w:t>Bezmylov</w:t>
      </w:r>
      <w:proofErr w:type="spellEnd"/>
      <w:r w:rsidRPr="002C0C6C">
        <w:rPr>
          <w:rFonts w:ascii="Times New Roman" w:eastAsia="Times" w:hAnsi="Times New Roman" w:cs="Times New Roman"/>
          <w:sz w:val="24"/>
          <w:szCs w:val="24"/>
        </w:rPr>
        <w:t xml:space="preserve">, </w:t>
      </w:r>
      <w:proofErr w:type="spellStart"/>
      <w:r w:rsidRPr="002C0C6C">
        <w:rPr>
          <w:rFonts w:ascii="Times New Roman" w:eastAsia="Times" w:hAnsi="Times New Roman" w:cs="Times New Roman"/>
          <w:sz w:val="24"/>
          <w:szCs w:val="24"/>
        </w:rPr>
        <w:t>Shynkaruk</w:t>
      </w:r>
      <w:proofErr w:type="spellEnd"/>
      <w:r w:rsidRPr="002C0C6C">
        <w:rPr>
          <w:rFonts w:ascii="Times New Roman" w:eastAsia="Times" w:hAnsi="Times New Roman" w:cs="Times New Roman"/>
          <w:sz w:val="24"/>
          <w:szCs w:val="24"/>
        </w:rPr>
        <w:t>, &amp; Murphy, 2020).</w:t>
      </w:r>
    </w:p>
    <w:p w14:paraId="2A1C8360" w14:textId="77777777" w:rsidR="006858F3" w:rsidRPr="002C0C6C" w:rsidRDefault="006858F3" w:rsidP="006858F3">
      <w:pPr>
        <w:spacing w:before="225" w:after="225"/>
        <w:rPr>
          <w:rFonts w:ascii="Times New Roman" w:eastAsia="Times" w:hAnsi="Times New Roman" w:cs="Times New Roman"/>
          <w:b/>
          <w:bCs/>
          <w:sz w:val="24"/>
          <w:szCs w:val="24"/>
        </w:rPr>
      </w:pPr>
      <w:r w:rsidRPr="002C0C6C">
        <w:rPr>
          <w:rFonts w:ascii="Times New Roman" w:eastAsia="Times" w:hAnsi="Times New Roman" w:cs="Times New Roman"/>
          <w:b/>
          <w:bCs/>
          <w:sz w:val="24"/>
          <w:szCs w:val="24"/>
        </w:rPr>
        <w:t>2. Research Objectives</w:t>
      </w:r>
    </w:p>
    <w:p w14:paraId="22E8BD16" w14:textId="77777777" w:rsidR="006858F3" w:rsidRPr="002C0C6C" w:rsidRDefault="006858F3" w:rsidP="005B347D">
      <w:pPr>
        <w:spacing w:line="360" w:lineRule="auto"/>
        <w:ind w:firstLine="60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 xml:space="preserve">The primary goal of this research is to establish a sustainable framework for educational cooperation between sports-focused vocational institutions in China and their counterparts in the </w:t>
      </w:r>
      <w:r w:rsidRPr="002C0C6C">
        <w:rPr>
          <w:rFonts w:ascii="Times New Roman" w:eastAsia="Times" w:hAnsi="Times New Roman" w:cs="Times New Roman"/>
          <w:sz w:val="24"/>
          <w:szCs w:val="24"/>
        </w:rPr>
        <w:lastRenderedPageBreak/>
        <w:t>ASEAN region. Building upon the foundational research funded by the China-ASEAN Vocational Education Research Center (Lan &amp; Wang, 2023; Shi &amp; Lan, 2022), this study aims to achieve the following specific objectives (Li &amp; Zhang, 2022; Lian &amp; Gao, 2019):</w:t>
      </w:r>
    </w:p>
    <w:p w14:paraId="55AACC35" w14:textId="77777777" w:rsidR="006858F3" w:rsidRPr="00C13A4F" w:rsidRDefault="006858F3" w:rsidP="006858F3">
      <w:pPr>
        <w:numPr>
          <w:ilvl w:val="0"/>
          <w:numId w:val="1"/>
        </w:numPr>
        <w:spacing w:line="360" w:lineRule="auto"/>
        <w:jc w:val="both"/>
        <w:rPr>
          <w:rFonts w:ascii="Times New Roman" w:hAnsi="Times New Roman" w:cs="Times New Roman"/>
        </w:rPr>
      </w:pPr>
      <w:r w:rsidRPr="002C0C6C">
        <w:rPr>
          <w:rFonts w:ascii="Times New Roman" w:eastAsia="Times" w:hAnsi="Times New Roman" w:cs="Times New Roman"/>
          <w:b/>
          <w:bCs/>
          <w:sz w:val="24"/>
          <w:szCs w:val="24"/>
        </w:rPr>
        <w:t>Theoretical Analysis:</w:t>
      </w:r>
      <w:r w:rsidRPr="002C0C6C">
        <w:rPr>
          <w:rFonts w:ascii="Times New Roman" w:eastAsia="Times" w:hAnsi="Times New Roman" w:cs="Times New Roman"/>
          <w:sz w:val="24"/>
          <w:szCs w:val="24"/>
        </w:rPr>
        <w:t xml:space="preserve"> To analyze the theoretical underpinnings of the China-ASEAN </w:t>
      </w:r>
      <w:r w:rsidRPr="00C13A4F">
        <w:rPr>
          <w:rFonts w:ascii="Times New Roman" w:eastAsia="Times" w:hAnsi="Times New Roman" w:cs="Times New Roman"/>
          <w:sz w:val="24"/>
          <w:szCs w:val="24"/>
        </w:rPr>
        <w:t>vocational education community within the context of regional economic integration and the "Western Development" strategy.</w:t>
      </w:r>
    </w:p>
    <w:p w14:paraId="1468F795" w14:textId="77777777" w:rsidR="006858F3" w:rsidRPr="00C13A4F" w:rsidRDefault="006858F3" w:rsidP="006858F3">
      <w:pPr>
        <w:numPr>
          <w:ilvl w:val="0"/>
          <w:numId w:val="1"/>
        </w:numPr>
        <w:spacing w:line="360" w:lineRule="auto"/>
        <w:jc w:val="both"/>
        <w:rPr>
          <w:rFonts w:ascii="Times New Roman" w:hAnsi="Times New Roman" w:cs="Times New Roman"/>
        </w:rPr>
      </w:pPr>
      <w:r w:rsidRPr="00C13A4F">
        <w:rPr>
          <w:rFonts w:ascii="Times New Roman" w:eastAsia="Times" w:hAnsi="Times New Roman" w:cs="Times New Roman"/>
          <w:b/>
          <w:bCs/>
          <w:sz w:val="24"/>
          <w:szCs w:val="24"/>
        </w:rPr>
        <w:t>Barrier Identification:</w:t>
      </w:r>
      <w:r w:rsidRPr="00C13A4F">
        <w:rPr>
          <w:rFonts w:ascii="Times New Roman" w:eastAsia="Times" w:hAnsi="Times New Roman" w:cs="Times New Roman"/>
          <w:sz w:val="24"/>
          <w:szCs w:val="24"/>
        </w:rPr>
        <w:t xml:space="preserve"> To identify the systemic challenges, including educational standards, resource allocation, and policy coordination, that hinder effective international student mobility (</w:t>
      </w:r>
      <w:proofErr w:type="spellStart"/>
      <w:r w:rsidRPr="00C13A4F">
        <w:rPr>
          <w:rFonts w:ascii="Times New Roman" w:eastAsia="Times" w:hAnsi="Times New Roman" w:cs="Times New Roman"/>
          <w:sz w:val="24"/>
          <w:szCs w:val="24"/>
        </w:rPr>
        <w:t>Nie</w:t>
      </w:r>
      <w:proofErr w:type="spellEnd"/>
      <w:r w:rsidRPr="00C13A4F">
        <w:rPr>
          <w:rFonts w:ascii="Times New Roman" w:eastAsia="Times" w:hAnsi="Times New Roman" w:cs="Times New Roman"/>
          <w:sz w:val="24"/>
          <w:szCs w:val="24"/>
        </w:rPr>
        <w:t>, 2021).</w:t>
      </w:r>
    </w:p>
    <w:p w14:paraId="19EEB8F1" w14:textId="77777777" w:rsidR="006858F3" w:rsidRPr="00C13A4F" w:rsidRDefault="006858F3" w:rsidP="006858F3">
      <w:pPr>
        <w:numPr>
          <w:ilvl w:val="0"/>
          <w:numId w:val="1"/>
        </w:numPr>
        <w:spacing w:line="360" w:lineRule="auto"/>
        <w:jc w:val="both"/>
        <w:rPr>
          <w:rFonts w:ascii="Times New Roman" w:hAnsi="Times New Roman" w:cs="Times New Roman"/>
        </w:rPr>
      </w:pPr>
      <w:r w:rsidRPr="00C13A4F">
        <w:rPr>
          <w:rFonts w:ascii="Times New Roman" w:eastAsia="Times" w:hAnsi="Times New Roman" w:cs="Times New Roman"/>
          <w:b/>
          <w:bCs/>
          <w:sz w:val="24"/>
          <w:szCs w:val="24"/>
        </w:rPr>
        <w:t>Pathway Innovation:</w:t>
      </w:r>
      <w:r w:rsidRPr="00C13A4F">
        <w:rPr>
          <w:rFonts w:ascii="Times New Roman" w:eastAsia="Times" w:hAnsi="Times New Roman" w:cs="Times New Roman"/>
          <w:sz w:val="24"/>
          <w:szCs w:val="24"/>
        </w:rPr>
        <w:t xml:space="preserve"> To propose practical cooperation pathways, specifically focusing on the "2+1+2" model, to address the limited academic progression opportunities for Chinese associate degree graduates.</w:t>
      </w:r>
    </w:p>
    <w:p w14:paraId="7639B6A9" w14:textId="77777777" w:rsidR="006858F3" w:rsidRPr="00C13A4F" w:rsidRDefault="006858F3" w:rsidP="006858F3">
      <w:pPr>
        <w:numPr>
          <w:ilvl w:val="0"/>
          <w:numId w:val="1"/>
        </w:numPr>
        <w:spacing w:line="360" w:lineRule="auto"/>
        <w:jc w:val="both"/>
        <w:rPr>
          <w:rFonts w:ascii="Times New Roman" w:hAnsi="Times New Roman" w:cs="Times New Roman"/>
        </w:rPr>
      </w:pPr>
      <w:r w:rsidRPr="00C13A4F">
        <w:rPr>
          <w:rFonts w:ascii="Times New Roman" w:eastAsia="Times" w:hAnsi="Times New Roman" w:cs="Times New Roman"/>
          <w:b/>
          <w:bCs/>
          <w:sz w:val="24"/>
          <w:szCs w:val="24"/>
        </w:rPr>
        <w:t>Evaluation Framework:</w:t>
      </w:r>
      <w:r w:rsidRPr="00C13A4F">
        <w:rPr>
          <w:rFonts w:ascii="Times New Roman" w:eastAsia="Times" w:hAnsi="Times New Roman" w:cs="Times New Roman"/>
          <w:sz w:val="24"/>
          <w:szCs w:val="24"/>
        </w:rPr>
        <w:t xml:space="preserve"> To develop a multidimensional evaluation framework for trilateral cooperation, ensuring quality control and long-term institutional sustainability (</w:t>
      </w:r>
      <w:proofErr w:type="spellStart"/>
      <w:r w:rsidRPr="00C13A4F">
        <w:rPr>
          <w:rFonts w:ascii="Times New Roman" w:eastAsia="Times" w:hAnsi="Times New Roman" w:cs="Times New Roman"/>
          <w:sz w:val="24"/>
          <w:szCs w:val="24"/>
        </w:rPr>
        <w:t>Xiong</w:t>
      </w:r>
      <w:proofErr w:type="spellEnd"/>
      <w:r w:rsidRPr="00C13A4F">
        <w:rPr>
          <w:rFonts w:ascii="Times New Roman" w:eastAsia="Times" w:hAnsi="Times New Roman" w:cs="Times New Roman"/>
          <w:sz w:val="24"/>
          <w:szCs w:val="24"/>
        </w:rPr>
        <w:t xml:space="preserve"> et al., 2019).</w:t>
      </w:r>
    </w:p>
    <w:p w14:paraId="1F216BAE" w14:textId="77777777" w:rsidR="006858F3" w:rsidRPr="00C13A4F" w:rsidRDefault="006858F3" w:rsidP="006858F3">
      <w:pPr>
        <w:pStyle w:val="2"/>
        <w:spacing w:before="450"/>
        <w:rPr>
          <w:rFonts w:ascii="Times New Roman" w:eastAsia="Times" w:hAnsi="Times New Roman" w:cs="Times New Roman"/>
          <w:sz w:val="24"/>
          <w:szCs w:val="24"/>
        </w:rPr>
      </w:pPr>
      <w:bookmarkStart w:id="6" w:name="OLE_LINK7"/>
      <w:r w:rsidRPr="00C13A4F">
        <w:rPr>
          <w:rFonts w:ascii="Times New Roman" w:eastAsia="Times" w:hAnsi="Times New Roman" w:cs="Times New Roman"/>
          <w:sz w:val="24"/>
          <w:szCs w:val="24"/>
        </w:rPr>
        <w:t>3. Hypothesis</w:t>
      </w:r>
    </w:p>
    <w:p w14:paraId="1D395826" w14:textId="77777777" w:rsidR="00C13A4F" w:rsidRPr="00C13A4F" w:rsidRDefault="00C13A4F" w:rsidP="005B347D">
      <w:pPr>
        <w:spacing w:line="360" w:lineRule="auto"/>
        <w:ind w:firstLine="720"/>
        <w:jc w:val="both"/>
        <w:rPr>
          <w:rFonts w:ascii="Times New Roman" w:eastAsia="Times" w:hAnsi="Times New Roman" w:cs="Times New Roman"/>
          <w:b/>
          <w:bCs/>
          <w:sz w:val="24"/>
          <w:szCs w:val="24"/>
        </w:rPr>
      </w:pPr>
      <w:r w:rsidRPr="00C13A4F">
        <w:rPr>
          <w:rFonts w:ascii="Times New Roman" w:eastAsia="Times" w:hAnsi="Times New Roman" w:cs="Times New Roman"/>
          <w:sz w:val="24"/>
          <w:szCs w:val="24"/>
        </w:rPr>
        <w:t>Guided by the research objectives and literature review, the following hypotheses are proposed for this study (</w:t>
      </w:r>
      <w:proofErr w:type="spellStart"/>
      <w:r w:rsidRPr="00C13A4F">
        <w:rPr>
          <w:rFonts w:ascii="Times New Roman" w:eastAsia="Times" w:hAnsi="Times New Roman" w:cs="Times New Roman"/>
          <w:sz w:val="24"/>
          <w:szCs w:val="24"/>
        </w:rPr>
        <w:t>Matulaitis</w:t>
      </w:r>
      <w:proofErr w:type="spellEnd"/>
      <w:r w:rsidRPr="00C13A4F">
        <w:rPr>
          <w:rFonts w:ascii="Times New Roman" w:eastAsia="Times" w:hAnsi="Times New Roman" w:cs="Times New Roman"/>
          <w:sz w:val="24"/>
          <w:szCs w:val="24"/>
        </w:rPr>
        <w:t xml:space="preserve"> et al., 2019; </w:t>
      </w:r>
      <w:proofErr w:type="spellStart"/>
      <w:r w:rsidRPr="00C13A4F">
        <w:rPr>
          <w:rFonts w:ascii="Times New Roman" w:eastAsia="Times" w:hAnsi="Times New Roman" w:cs="Times New Roman"/>
          <w:sz w:val="24"/>
          <w:szCs w:val="24"/>
        </w:rPr>
        <w:t>Teramoto</w:t>
      </w:r>
      <w:proofErr w:type="spellEnd"/>
      <w:r w:rsidRPr="00C13A4F">
        <w:rPr>
          <w:rFonts w:ascii="Times New Roman" w:eastAsia="Times" w:hAnsi="Times New Roman" w:cs="Times New Roman"/>
          <w:sz w:val="24"/>
          <w:szCs w:val="24"/>
        </w:rPr>
        <w:t xml:space="preserve"> et al., 2018):</w:t>
      </w:r>
    </w:p>
    <w:p w14:paraId="7EFF25C4" w14:textId="77777777" w:rsidR="00C13A4F" w:rsidRPr="00C13A4F" w:rsidRDefault="00C13A4F" w:rsidP="005B347D">
      <w:pPr>
        <w:spacing w:line="360" w:lineRule="auto"/>
        <w:ind w:firstLine="720"/>
        <w:jc w:val="both"/>
        <w:rPr>
          <w:rFonts w:ascii="Times New Roman" w:eastAsia="Times" w:hAnsi="Times New Roman" w:cs="Times New Roman"/>
          <w:sz w:val="24"/>
          <w:szCs w:val="24"/>
        </w:rPr>
      </w:pPr>
      <w:r w:rsidRPr="00C13A4F">
        <w:rPr>
          <w:rFonts w:ascii="Times New Roman" w:eastAsia="Times" w:hAnsi="Times New Roman" w:cs="Times New Roman"/>
          <w:b/>
          <w:bCs/>
          <w:sz w:val="24"/>
          <w:szCs w:val="24"/>
        </w:rPr>
        <w:t xml:space="preserve">H1: </w:t>
      </w:r>
      <w:r w:rsidRPr="00C13A4F">
        <w:rPr>
          <w:rFonts w:ascii="Times New Roman" w:eastAsia="Times" w:hAnsi="Times New Roman" w:cs="Times New Roman"/>
          <w:sz w:val="24"/>
          <w:szCs w:val="24"/>
        </w:rPr>
        <w:t>China’s Western Development policy provides sufficient political and economic momentum to foster a China-ASEAN vocational education community.</w:t>
      </w:r>
    </w:p>
    <w:p w14:paraId="5B223B92" w14:textId="1AB47938" w:rsidR="006858F3" w:rsidRPr="00C13A4F" w:rsidRDefault="006858F3" w:rsidP="005B347D">
      <w:pPr>
        <w:spacing w:line="360" w:lineRule="auto"/>
        <w:ind w:firstLine="720"/>
        <w:jc w:val="both"/>
        <w:rPr>
          <w:rFonts w:ascii="Times New Roman" w:eastAsia="Times" w:hAnsi="Times New Roman" w:cs="Times New Roman"/>
          <w:sz w:val="24"/>
          <w:szCs w:val="24"/>
        </w:rPr>
      </w:pPr>
      <w:r w:rsidRPr="00C13A4F">
        <w:rPr>
          <w:rFonts w:ascii="Times New Roman" w:eastAsia="Times" w:hAnsi="Times New Roman" w:cs="Times New Roman"/>
          <w:b/>
          <w:bCs/>
          <w:sz w:val="24"/>
          <w:szCs w:val="24"/>
        </w:rPr>
        <w:t>H2:</w:t>
      </w:r>
      <w:r w:rsidRPr="00C13A4F">
        <w:rPr>
          <w:rFonts w:ascii="Times New Roman" w:eastAsia="Times" w:hAnsi="Times New Roman" w:cs="Times New Roman"/>
          <w:sz w:val="24"/>
          <w:szCs w:val="24"/>
        </w:rPr>
        <w:t xml:space="preserve"> </w:t>
      </w:r>
      <w:r w:rsidR="00C13A4F" w:rsidRPr="00C13A4F">
        <w:rPr>
          <w:rFonts w:ascii="Times New Roman" w:eastAsia="Times" w:hAnsi="Times New Roman" w:cs="Times New Roman"/>
          <w:sz w:val="24"/>
          <w:szCs w:val="24"/>
        </w:rPr>
        <w:t>The absence of an operational coordination mechanism at the institutional level is the primary structural barrier to the internationalization of sports vocational education (</w:t>
      </w:r>
      <w:proofErr w:type="spellStart"/>
      <w:r w:rsidR="00C13A4F" w:rsidRPr="00C13A4F">
        <w:rPr>
          <w:rFonts w:ascii="Times New Roman" w:eastAsia="Times" w:hAnsi="Times New Roman" w:cs="Times New Roman"/>
          <w:sz w:val="24"/>
          <w:szCs w:val="24"/>
        </w:rPr>
        <w:t>Nie</w:t>
      </w:r>
      <w:proofErr w:type="spellEnd"/>
      <w:r w:rsidR="00C13A4F" w:rsidRPr="00C13A4F">
        <w:rPr>
          <w:rFonts w:ascii="Times New Roman" w:eastAsia="Times" w:hAnsi="Times New Roman" w:cs="Times New Roman"/>
          <w:sz w:val="24"/>
          <w:szCs w:val="24"/>
        </w:rPr>
        <w:t>, 2021).</w:t>
      </w:r>
    </w:p>
    <w:p w14:paraId="4B542575" w14:textId="71B89659" w:rsidR="006858F3" w:rsidRPr="00C13A4F" w:rsidRDefault="006858F3" w:rsidP="005B347D">
      <w:pPr>
        <w:spacing w:line="360" w:lineRule="auto"/>
        <w:ind w:firstLine="720"/>
        <w:jc w:val="both"/>
        <w:rPr>
          <w:rFonts w:ascii="Times New Roman" w:eastAsia="Times" w:hAnsi="Times New Roman" w:cs="Times New Roman"/>
          <w:sz w:val="24"/>
          <w:szCs w:val="24"/>
        </w:rPr>
      </w:pPr>
      <w:r w:rsidRPr="00C13A4F">
        <w:rPr>
          <w:rFonts w:ascii="Times New Roman" w:eastAsia="Times" w:hAnsi="Times New Roman" w:cs="Times New Roman"/>
          <w:b/>
          <w:bCs/>
          <w:sz w:val="24"/>
          <w:szCs w:val="24"/>
        </w:rPr>
        <w:t>H3:</w:t>
      </w:r>
      <w:r w:rsidRPr="00C13A4F">
        <w:rPr>
          <w:rFonts w:ascii="Times New Roman" w:eastAsia="Times" w:hAnsi="Times New Roman" w:cs="Times New Roman"/>
          <w:sz w:val="24"/>
          <w:szCs w:val="24"/>
        </w:rPr>
        <w:t xml:space="preserve"> </w:t>
      </w:r>
      <w:r w:rsidR="00C13A4F" w:rsidRPr="00C13A4F">
        <w:rPr>
          <w:rFonts w:ascii="Times New Roman" w:eastAsia="Times" w:hAnsi="Times New Roman" w:cs="Times New Roman"/>
          <w:sz w:val="24"/>
          <w:szCs w:val="24"/>
        </w:rPr>
        <w:t>The “2+1+2” model (two years of vocational training in China, one exchange year, and two years of top-up bachelor’s studies in Thailand) can significantly bridge the “Degree Ceiling” gap for sports vocational graduates.</w:t>
      </w:r>
    </w:p>
    <w:p w14:paraId="762DD60A" w14:textId="4F09ABEB" w:rsidR="006858F3" w:rsidRPr="00C13A4F" w:rsidRDefault="006858F3" w:rsidP="005B347D">
      <w:pPr>
        <w:spacing w:after="600" w:line="360" w:lineRule="auto"/>
        <w:ind w:firstLine="720"/>
        <w:jc w:val="both"/>
        <w:rPr>
          <w:rFonts w:ascii="Times New Roman" w:eastAsia="Times" w:hAnsi="Times New Roman" w:cs="Times New Roman"/>
          <w:sz w:val="24"/>
          <w:szCs w:val="24"/>
        </w:rPr>
      </w:pPr>
      <w:r w:rsidRPr="00C13A4F">
        <w:rPr>
          <w:rFonts w:ascii="Times New Roman" w:eastAsia="Times" w:hAnsi="Times New Roman" w:cs="Times New Roman"/>
          <w:b/>
          <w:bCs/>
          <w:sz w:val="24"/>
          <w:szCs w:val="24"/>
        </w:rPr>
        <w:t>H4:</w:t>
      </w:r>
      <w:r w:rsidRPr="00C13A4F">
        <w:rPr>
          <w:rFonts w:ascii="Times New Roman" w:eastAsia="Times" w:hAnsi="Times New Roman" w:cs="Times New Roman"/>
          <w:sz w:val="24"/>
          <w:szCs w:val="24"/>
        </w:rPr>
        <w:t xml:space="preserve"> </w:t>
      </w:r>
      <w:r w:rsidR="00C13A4F" w:rsidRPr="00C13A4F">
        <w:rPr>
          <w:rFonts w:ascii="Times New Roman" w:eastAsia="Times" w:hAnsi="Times New Roman" w:cs="Times New Roman"/>
          <w:sz w:val="24"/>
          <w:szCs w:val="24"/>
        </w:rPr>
        <w:t>Trilateral cooperation between Guangxi College of Sports Education (China), Thailand National Sports University (Thailand), and Hanoi University of Physical Education and Sports (Vietnam) serves as a scalable pilot model for regional educational integration.</w:t>
      </w:r>
    </w:p>
    <w:bookmarkEnd w:id="6"/>
    <w:p w14:paraId="5D66592E" w14:textId="77777777" w:rsidR="006858F3" w:rsidRPr="00C13A4F" w:rsidRDefault="006858F3" w:rsidP="006858F3">
      <w:pPr>
        <w:spacing w:before="225" w:after="225"/>
        <w:rPr>
          <w:rFonts w:ascii="Times New Roman" w:eastAsia="Times" w:hAnsi="Times New Roman" w:cs="Times New Roman"/>
          <w:b/>
          <w:bCs/>
          <w:sz w:val="24"/>
          <w:szCs w:val="24"/>
        </w:rPr>
      </w:pPr>
      <w:r w:rsidRPr="00C13A4F">
        <w:rPr>
          <w:rFonts w:ascii="Times New Roman" w:eastAsia="Times" w:hAnsi="Times New Roman" w:cs="Times New Roman"/>
          <w:b/>
          <w:bCs/>
          <w:sz w:val="24"/>
          <w:szCs w:val="24"/>
        </w:rPr>
        <w:lastRenderedPageBreak/>
        <w:t>4. Research Methods</w:t>
      </w:r>
    </w:p>
    <w:p w14:paraId="3A78235C" w14:textId="77777777" w:rsidR="006858F3" w:rsidRPr="002C0C6C" w:rsidRDefault="006858F3" w:rsidP="005B347D">
      <w:pPr>
        <w:spacing w:after="240" w:line="360" w:lineRule="auto"/>
        <w:ind w:firstLine="720"/>
        <w:jc w:val="both"/>
        <w:rPr>
          <w:rFonts w:ascii="Times New Roman" w:eastAsia="Times" w:hAnsi="Times New Roman" w:cs="Times New Roman"/>
          <w:sz w:val="24"/>
          <w:szCs w:val="24"/>
        </w:rPr>
      </w:pPr>
      <w:r w:rsidRPr="00C13A4F">
        <w:rPr>
          <w:rFonts w:ascii="Times New Roman" w:eastAsia="Times" w:hAnsi="Times New Roman" w:cs="Times New Roman"/>
          <w:sz w:val="24"/>
          <w:szCs w:val="24"/>
        </w:rPr>
        <w:t xml:space="preserve">This study employs a mixed-method research design (Creswell &amp; Creswell, 2018), integrating quantitative empirical analysis with </w:t>
      </w:r>
      <w:r w:rsidRPr="002C0C6C">
        <w:rPr>
          <w:rFonts w:ascii="Times New Roman" w:eastAsia="Times" w:hAnsi="Times New Roman" w:cs="Times New Roman"/>
          <w:sz w:val="24"/>
          <w:szCs w:val="24"/>
        </w:rPr>
        <w:t>qualitative case studies to ensure a holistic understanding of the research problem. This approach is consistent with the methodology of the original funded research project (Project No. ZGDMKT2021ZD014).</w:t>
      </w:r>
    </w:p>
    <w:p w14:paraId="2DF15E9C" w14:textId="77777777" w:rsidR="006858F3" w:rsidRPr="002C0C6C" w:rsidRDefault="006858F3" w:rsidP="006858F3">
      <w:pPr>
        <w:pStyle w:val="3"/>
        <w:spacing w:before="0"/>
        <w:rPr>
          <w:rFonts w:ascii="Times New Roman" w:eastAsia="Times" w:hAnsi="Times New Roman" w:cs="Times New Roman"/>
          <w:sz w:val="24"/>
          <w:szCs w:val="24"/>
        </w:rPr>
      </w:pPr>
      <w:r w:rsidRPr="002C0C6C">
        <w:rPr>
          <w:rFonts w:ascii="Times New Roman" w:eastAsia="Times" w:hAnsi="Times New Roman" w:cs="Times New Roman"/>
          <w:sz w:val="24"/>
          <w:szCs w:val="24"/>
        </w:rPr>
        <w:t>4.1 Literature Review and Theoretical Framework</w:t>
      </w:r>
    </w:p>
    <w:p w14:paraId="1FC74683" w14:textId="77777777" w:rsidR="006858F3" w:rsidRPr="002C0C6C" w:rsidRDefault="006858F3" w:rsidP="005B347D">
      <w:pPr>
        <w:spacing w:after="240" w:line="360" w:lineRule="auto"/>
        <w:ind w:firstLine="72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A systematic literature review was conducted using major academic databases, including PubMed, Google Scholar, and CNKI (China National Knowledge Infrastructure), covering the period from 2000 to 2024 (Li &amp; Zhang, 2022). The review focused on keywords such as "China-ASEAN education community," "sports vocational training," and "internationalization of higher education." This theoretical mapping provided the basis for the comparative analysis of educational systems (Lian &amp; Gao, 2019).</w:t>
      </w:r>
    </w:p>
    <w:p w14:paraId="3AE8E023" w14:textId="77777777" w:rsidR="006858F3" w:rsidRPr="002C0C6C" w:rsidRDefault="006858F3" w:rsidP="006858F3">
      <w:pPr>
        <w:pStyle w:val="3"/>
        <w:spacing w:before="0"/>
        <w:rPr>
          <w:rFonts w:ascii="Times New Roman" w:eastAsia="Times" w:hAnsi="Times New Roman" w:cs="Times New Roman"/>
          <w:sz w:val="24"/>
          <w:szCs w:val="24"/>
        </w:rPr>
      </w:pPr>
      <w:r w:rsidRPr="002C0C6C">
        <w:rPr>
          <w:rFonts w:ascii="Times New Roman" w:eastAsia="Times" w:hAnsi="Times New Roman" w:cs="Times New Roman"/>
          <w:sz w:val="24"/>
          <w:szCs w:val="24"/>
        </w:rPr>
        <w:t>4.2 Empirical Data Collection and Analysis</w:t>
      </w:r>
    </w:p>
    <w:p w14:paraId="12EB82AC" w14:textId="64B4909D" w:rsidR="006858F3" w:rsidRPr="002C0C6C" w:rsidRDefault="006858F3" w:rsidP="005B347D">
      <w:pPr>
        <w:spacing w:line="360" w:lineRule="auto"/>
        <w:ind w:firstLine="72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 xml:space="preserve">Secondary data were retrieved from official sources, including the 2016–2021 China Vocational Education Quality Reports and institutional statistical data from </w:t>
      </w:r>
      <w:r w:rsidR="00BA2436" w:rsidRPr="002C0C6C">
        <w:rPr>
          <w:rFonts w:ascii="Times New Roman" w:eastAsia="Times" w:hAnsi="Times New Roman" w:cs="Times New Roman"/>
          <w:sz w:val="24"/>
          <w:szCs w:val="24"/>
        </w:rPr>
        <w:t>Guangxi College of Sports Education</w:t>
      </w:r>
      <w:r w:rsidRPr="002C0C6C">
        <w:rPr>
          <w:rFonts w:ascii="Times New Roman" w:eastAsia="Times" w:hAnsi="Times New Roman" w:cs="Times New Roman"/>
          <w:sz w:val="24"/>
          <w:szCs w:val="24"/>
        </w:rPr>
        <w:t xml:space="preserve"> (Lan &amp; Wang, 2023). Trilateral insights were provided by the international research team members from Thailand and Vietnam, ensuring the inclusion of diverse regional perspectives.</w:t>
      </w:r>
    </w:p>
    <w:p w14:paraId="7000BFCC" w14:textId="77777777" w:rsidR="006858F3" w:rsidRPr="002C0C6C" w:rsidRDefault="006858F3" w:rsidP="006858F3">
      <w:pPr>
        <w:spacing w:after="240" w:line="360" w:lineRule="auto"/>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Quantitative data, particularly regarding student enrollment trends and resource distribution, were analyzed using SPSS 20.0 (Liang et al., 2022). To determine the weights of various cooperation factors, the Analytic Hierarchy Process (AHP) was utilized (</w:t>
      </w:r>
      <w:proofErr w:type="spellStart"/>
      <w:r w:rsidRPr="002C0C6C">
        <w:rPr>
          <w:rFonts w:ascii="Times New Roman" w:eastAsia="Times" w:hAnsi="Times New Roman" w:cs="Times New Roman"/>
          <w:sz w:val="24"/>
          <w:szCs w:val="24"/>
        </w:rPr>
        <w:t>Saaty</w:t>
      </w:r>
      <w:proofErr w:type="spellEnd"/>
      <w:r w:rsidRPr="002C0C6C">
        <w:rPr>
          <w:rFonts w:ascii="Times New Roman" w:eastAsia="Times" w:hAnsi="Times New Roman" w:cs="Times New Roman"/>
          <w:sz w:val="24"/>
          <w:szCs w:val="24"/>
        </w:rPr>
        <w:t xml:space="preserve">, 1980; </w:t>
      </w:r>
      <w:proofErr w:type="spellStart"/>
      <w:r w:rsidRPr="002C0C6C">
        <w:rPr>
          <w:rFonts w:ascii="Times New Roman" w:eastAsia="Times" w:hAnsi="Times New Roman" w:cs="Times New Roman"/>
          <w:sz w:val="24"/>
          <w:szCs w:val="24"/>
        </w:rPr>
        <w:t>Yixiong</w:t>
      </w:r>
      <w:proofErr w:type="spellEnd"/>
      <w:r w:rsidRPr="002C0C6C">
        <w:rPr>
          <w:rFonts w:ascii="Times New Roman" w:eastAsia="Times" w:hAnsi="Times New Roman" w:cs="Times New Roman"/>
          <w:sz w:val="24"/>
          <w:szCs w:val="24"/>
        </w:rPr>
        <w:t xml:space="preserve"> et al., 2019). The consistency ratio (CR) for all expert judgments was maintained below 0.1 to ensure the reliability of the hierarchical model.</w:t>
      </w:r>
    </w:p>
    <w:p w14:paraId="67CAE19A" w14:textId="77777777" w:rsidR="006858F3" w:rsidRPr="002C0C6C" w:rsidRDefault="006858F3" w:rsidP="006858F3">
      <w:pPr>
        <w:pStyle w:val="3"/>
        <w:spacing w:before="0"/>
        <w:rPr>
          <w:rFonts w:ascii="Times New Roman" w:eastAsia="Times" w:hAnsi="Times New Roman" w:cs="Times New Roman"/>
          <w:sz w:val="24"/>
          <w:szCs w:val="24"/>
        </w:rPr>
      </w:pPr>
      <w:bookmarkStart w:id="7" w:name="OLE_LINK14"/>
      <w:r w:rsidRPr="002C0C6C">
        <w:rPr>
          <w:rFonts w:ascii="Times New Roman" w:eastAsia="Times" w:hAnsi="Times New Roman" w:cs="Times New Roman"/>
          <w:sz w:val="24"/>
          <w:szCs w:val="24"/>
        </w:rPr>
        <w:t>4.3 Qualitative Case Study Design</w:t>
      </w:r>
    </w:p>
    <w:p w14:paraId="43AC6A68" w14:textId="6F11129F" w:rsidR="009617D6" w:rsidRPr="001D453F" w:rsidRDefault="009617D6" w:rsidP="005B347D">
      <w:pPr>
        <w:spacing w:line="360" w:lineRule="auto"/>
        <w:ind w:firstLine="600"/>
        <w:jc w:val="both"/>
        <w:rPr>
          <w:rFonts w:ascii="Times New Roman" w:eastAsia="Times" w:hAnsi="Times New Roman" w:cs="Times New Roman"/>
          <w:sz w:val="24"/>
          <w:szCs w:val="24"/>
        </w:rPr>
      </w:pPr>
      <w:r w:rsidRPr="001D453F">
        <w:rPr>
          <w:rFonts w:ascii="Times New Roman" w:eastAsia="Times" w:hAnsi="Times New Roman" w:cs="Times New Roman"/>
          <w:sz w:val="24"/>
          <w:szCs w:val="24"/>
        </w:rPr>
        <w:t>Using the case study methodology outlined by Yin (2018), three institutions were purposively selected as representative models:</w:t>
      </w:r>
    </w:p>
    <w:p w14:paraId="77A46F70" w14:textId="2E38CD5C" w:rsidR="006858F3" w:rsidRPr="001D453F" w:rsidRDefault="00BA2436" w:rsidP="006858F3">
      <w:pPr>
        <w:numPr>
          <w:ilvl w:val="0"/>
          <w:numId w:val="2"/>
        </w:numPr>
        <w:spacing w:line="360" w:lineRule="auto"/>
        <w:rPr>
          <w:rFonts w:ascii="Times New Roman" w:hAnsi="Times New Roman" w:cs="Times New Roman"/>
          <w:sz w:val="24"/>
          <w:szCs w:val="24"/>
        </w:rPr>
      </w:pPr>
      <w:r w:rsidRPr="001D453F">
        <w:rPr>
          <w:rFonts w:ascii="Times New Roman" w:eastAsia="Times" w:hAnsi="Times New Roman" w:cs="Times New Roman"/>
          <w:b/>
          <w:bCs/>
          <w:sz w:val="24"/>
          <w:szCs w:val="24"/>
        </w:rPr>
        <w:t>Guangxi College of Sports Education</w:t>
      </w:r>
      <w:r w:rsidR="006858F3" w:rsidRPr="001D453F">
        <w:rPr>
          <w:rFonts w:ascii="Times New Roman" w:eastAsia="Times" w:hAnsi="Times New Roman" w:cs="Times New Roman"/>
          <w:b/>
          <w:bCs/>
          <w:sz w:val="24"/>
          <w:szCs w:val="24"/>
        </w:rPr>
        <w:t xml:space="preserve"> (China):</w:t>
      </w:r>
      <w:r w:rsidR="006858F3" w:rsidRPr="001D453F">
        <w:rPr>
          <w:rFonts w:ascii="Times New Roman" w:eastAsia="Times" w:hAnsi="Times New Roman" w:cs="Times New Roman"/>
          <w:sz w:val="24"/>
          <w:szCs w:val="24"/>
        </w:rPr>
        <w:t xml:space="preserve"> Acting as the primary "sending" institution and the research lead.</w:t>
      </w:r>
    </w:p>
    <w:p w14:paraId="0C87AD3C" w14:textId="65AB765C" w:rsidR="001D453F" w:rsidRPr="001D453F" w:rsidRDefault="001D453F" w:rsidP="001D453F">
      <w:pPr>
        <w:numPr>
          <w:ilvl w:val="0"/>
          <w:numId w:val="2"/>
        </w:numPr>
        <w:spacing w:line="360" w:lineRule="auto"/>
        <w:rPr>
          <w:rFonts w:ascii="Times New Roman" w:hAnsi="Times New Roman" w:cs="Times New Roman"/>
          <w:sz w:val="24"/>
          <w:szCs w:val="24"/>
        </w:rPr>
      </w:pPr>
      <w:r w:rsidRPr="001D453F">
        <w:rPr>
          <w:rFonts w:ascii="Times New Roman" w:hAnsi="Times New Roman" w:cs="Times New Roman"/>
          <w:b/>
          <w:bCs/>
          <w:sz w:val="24"/>
          <w:szCs w:val="24"/>
        </w:rPr>
        <w:t xml:space="preserve">Thailand National Sports University (Thailand) and Hanoi University of Physical </w:t>
      </w:r>
      <w:r w:rsidRPr="001D453F">
        <w:rPr>
          <w:rFonts w:ascii="Times New Roman" w:hAnsi="Times New Roman" w:cs="Times New Roman"/>
          <w:b/>
          <w:bCs/>
          <w:sz w:val="24"/>
          <w:szCs w:val="24"/>
        </w:rPr>
        <w:lastRenderedPageBreak/>
        <w:t>Education and Sports (Vietnam)</w:t>
      </w:r>
      <w:r w:rsidRPr="001D453F">
        <w:rPr>
          <w:rFonts w:ascii="Times New Roman" w:hAnsi="Times New Roman" w:cs="Times New Roman"/>
          <w:sz w:val="24"/>
          <w:szCs w:val="24"/>
        </w:rPr>
        <w:t>: serving as receiving institutions, providing bachelor’s, master’s, and doctoral pathways under a trilateral academic mobility framework.</w:t>
      </w:r>
    </w:p>
    <w:p w14:paraId="0848C767" w14:textId="77777777" w:rsidR="006858F3" w:rsidRPr="001D453F" w:rsidRDefault="006858F3" w:rsidP="001D453F">
      <w:pPr>
        <w:spacing w:line="360" w:lineRule="auto"/>
        <w:ind w:firstLine="600"/>
        <w:rPr>
          <w:rFonts w:ascii="Times New Roman" w:hAnsi="Times New Roman" w:cs="Times New Roman"/>
        </w:rPr>
      </w:pPr>
      <w:r w:rsidRPr="001D453F">
        <w:rPr>
          <w:rFonts w:ascii="Times New Roman" w:eastAsia="Times" w:hAnsi="Times New Roman" w:cs="Times New Roman"/>
          <w:sz w:val="24"/>
          <w:szCs w:val="24"/>
        </w:rPr>
        <w:t>Qualitative data obtained through expert interviews and policy document analysis were subjected to thematic analysis (Braun &amp; Clarke, 2006) to identify recurring challenges and successful strategic interventions.</w:t>
      </w:r>
    </w:p>
    <w:p w14:paraId="08BCFAD1" w14:textId="77777777" w:rsidR="006858F3" w:rsidRPr="002C0C6C" w:rsidRDefault="006858F3" w:rsidP="006858F3">
      <w:pPr>
        <w:spacing w:before="225" w:after="225"/>
        <w:rPr>
          <w:rFonts w:ascii="Times New Roman" w:eastAsia="Times" w:hAnsi="Times New Roman" w:cs="Times New Roman"/>
          <w:b/>
          <w:bCs/>
          <w:sz w:val="24"/>
          <w:szCs w:val="24"/>
        </w:rPr>
      </w:pPr>
      <w:bookmarkStart w:id="8" w:name="OLE_LINK1"/>
      <w:bookmarkEnd w:id="7"/>
      <w:r w:rsidRPr="002C0C6C">
        <w:rPr>
          <w:rFonts w:ascii="Times New Roman" w:eastAsia="Times" w:hAnsi="Times New Roman" w:cs="Times New Roman"/>
          <w:b/>
          <w:bCs/>
          <w:sz w:val="24"/>
          <w:szCs w:val="24"/>
        </w:rPr>
        <w:t>5. Research Results</w:t>
      </w:r>
    </w:p>
    <w:p w14:paraId="54EEC8B7" w14:textId="77777777" w:rsidR="006858F3" w:rsidRPr="002C0C6C" w:rsidRDefault="006858F3" w:rsidP="005B347D">
      <w:pPr>
        <w:spacing w:after="240" w:line="360" w:lineRule="auto"/>
        <w:ind w:firstLine="72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The findings of this study illustrate a complex landscape of opportunities and challenges within the China-ASEAN vocational education sector. Data analysis reveals that the "Western Development" strategy has indeed acted as a catalyst for regional integration.</w:t>
      </w:r>
    </w:p>
    <w:p w14:paraId="6796F570" w14:textId="77777777" w:rsidR="006858F3" w:rsidRPr="002C0C6C" w:rsidRDefault="006858F3" w:rsidP="006858F3">
      <w:pPr>
        <w:pStyle w:val="3"/>
        <w:spacing w:before="0"/>
        <w:rPr>
          <w:rFonts w:ascii="Times New Roman" w:eastAsia="Times" w:hAnsi="Times New Roman" w:cs="Times New Roman"/>
          <w:sz w:val="24"/>
          <w:szCs w:val="24"/>
        </w:rPr>
      </w:pPr>
      <w:r w:rsidRPr="002C0C6C">
        <w:rPr>
          <w:rFonts w:ascii="Times New Roman" w:eastAsia="Times" w:hAnsi="Times New Roman" w:cs="Times New Roman"/>
          <w:sz w:val="24"/>
          <w:szCs w:val="24"/>
        </w:rPr>
        <w:t>5.1 Hotspots for China-ASEAN Vocational Cooperation</w:t>
      </w:r>
    </w:p>
    <w:p w14:paraId="2552A52D" w14:textId="683EDC4E" w:rsidR="006858F3" w:rsidRDefault="006858F3" w:rsidP="005B347D">
      <w:pPr>
        <w:spacing w:after="150" w:line="360" w:lineRule="auto"/>
        <w:ind w:firstLine="72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 xml:space="preserve">Based on the thematic analysis of literature and policy documents, four primary "hotspots" of cooperation were identified (Wang &amp; Li, 2021; </w:t>
      </w:r>
      <w:proofErr w:type="spellStart"/>
      <w:r w:rsidRPr="002C0C6C">
        <w:rPr>
          <w:rFonts w:ascii="Times New Roman" w:eastAsia="Times" w:hAnsi="Times New Roman" w:cs="Times New Roman"/>
          <w:sz w:val="24"/>
          <w:szCs w:val="24"/>
        </w:rPr>
        <w:t>Xiong</w:t>
      </w:r>
      <w:proofErr w:type="spellEnd"/>
      <w:r w:rsidRPr="002C0C6C">
        <w:rPr>
          <w:rFonts w:ascii="Times New Roman" w:eastAsia="Times" w:hAnsi="Times New Roman" w:cs="Times New Roman"/>
          <w:sz w:val="24"/>
          <w:szCs w:val="24"/>
        </w:rPr>
        <w:t xml:space="preserve"> et al., 2019). These areas represent the most active and promising domains for institutional synergy.</w:t>
      </w:r>
    </w:p>
    <w:p w14:paraId="3F3A56D4" w14:textId="682373A8" w:rsidR="00A23638" w:rsidRDefault="00A23638" w:rsidP="006858F3">
      <w:pPr>
        <w:spacing w:after="150" w:line="360" w:lineRule="auto"/>
        <w:jc w:val="both"/>
        <w:rPr>
          <w:rFonts w:ascii="Times New Roman" w:eastAsia="Times" w:hAnsi="Times New Roman" w:cs="Times New Roman"/>
          <w:sz w:val="24"/>
          <w:szCs w:val="24"/>
        </w:rPr>
      </w:pPr>
      <w:r w:rsidRPr="00A23638">
        <w:rPr>
          <w:rFonts w:ascii="Times New Roman" w:eastAsia="Times" w:hAnsi="Times New Roman" w:cs="Times New Roman"/>
          <w:b/>
          <w:bCs/>
          <w:sz w:val="24"/>
          <w:szCs w:val="24"/>
        </w:rPr>
        <w:t>Table 1:</w:t>
      </w:r>
      <w:r w:rsidRPr="00A23638">
        <w:rPr>
          <w:rFonts w:ascii="Times New Roman" w:eastAsia="Times" w:hAnsi="Times New Roman" w:cs="Times New Roman"/>
          <w:sz w:val="24"/>
          <w:szCs w:val="24"/>
        </w:rPr>
        <w:t xml:space="preserve"> Key Hotspots of China-ASEAN Vocational Cooperation and Supporting Evidence</w:t>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20"/>
        <w:gridCol w:w="3120"/>
        <w:gridCol w:w="3120"/>
      </w:tblGrid>
      <w:tr w:rsidR="006858F3" w:rsidRPr="002C0C6C" w14:paraId="2EC6A6D2" w14:textId="77777777" w:rsidTr="006858F3">
        <w:trPr>
          <w:tblHeader/>
        </w:trPr>
        <w:tc>
          <w:tcPr>
            <w:tcW w:w="3120" w:type="dxa"/>
            <w:tcBorders>
              <w:top w:val="single" w:sz="6" w:space="0" w:color="000000"/>
              <w:left w:val="single" w:sz="6" w:space="0" w:color="000000"/>
              <w:bottom w:val="single" w:sz="6" w:space="0" w:color="000000"/>
              <w:right w:val="single" w:sz="6" w:space="0" w:color="000000"/>
            </w:tcBorders>
            <w:shd w:val="clear" w:color="auto" w:fill="F2F2F2"/>
            <w:tcMar>
              <w:top w:w="120" w:type="dxa"/>
              <w:left w:w="120" w:type="dxa"/>
              <w:bottom w:w="120" w:type="dxa"/>
              <w:right w:w="120" w:type="dxa"/>
            </w:tcMar>
            <w:hideMark/>
          </w:tcPr>
          <w:p w14:paraId="6E9780DE" w14:textId="77777777" w:rsidR="006858F3" w:rsidRPr="002C0C6C" w:rsidRDefault="006858F3">
            <w:pPr>
              <w:spacing w:before="120" w:after="120"/>
              <w:jc w:val="center"/>
              <w:rPr>
                <w:rFonts w:ascii="Times New Roman" w:eastAsia="Times" w:hAnsi="Times New Roman" w:cs="Times New Roman"/>
              </w:rPr>
            </w:pPr>
            <w:r w:rsidRPr="002C0C6C">
              <w:rPr>
                <w:rFonts w:ascii="Times New Roman" w:eastAsia="Times" w:hAnsi="Times New Roman" w:cs="Times New Roman"/>
              </w:rPr>
              <w:t>Hotspot</w:t>
            </w:r>
          </w:p>
        </w:tc>
        <w:tc>
          <w:tcPr>
            <w:tcW w:w="3120" w:type="dxa"/>
            <w:tcBorders>
              <w:top w:val="single" w:sz="6" w:space="0" w:color="000000"/>
              <w:left w:val="single" w:sz="6" w:space="0" w:color="000000"/>
              <w:bottom w:val="single" w:sz="6" w:space="0" w:color="000000"/>
              <w:right w:val="single" w:sz="6" w:space="0" w:color="000000"/>
            </w:tcBorders>
            <w:shd w:val="clear" w:color="auto" w:fill="F2F2F2"/>
            <w:tcMar>
              <w:top w:w="120" w:type="dxa"/>
              <w:left w:w="120" w:type="dxa"/>
              <w:bottom w:w="120" w:type="dxa"/>
              <w:right w:w="120" w:type="dxa"/>
            </w:tcMar>
            <w:hideMark/>
          </w:tcPr>
          <w:p w14:paraId="4537B677" w14:textId="77777777" w:rsidR="006858F3" w:rsidRPr="002C0C6C" w:rsidRDefault="006858F3">
            <w:pPr>
              <w:spacing w:before="120" w:after="120"/>
              <w:jc w:val="center"/>
              <w:rPr>
                <w:rFonts w:ascii="Times New Roman" w:eastAsia="Times" w:hAnsi="Times New Roman" w:cs="Times New Roman"/>
              </w:rPr>
            </w:pPr>
            <w:r w:rsidRPr="002C0C6C">
              <w:rPr>
                <w:rFonts w:ascii="Times New Roman" w:eastAsia="Times" w:hAnsi="Times New Roman" w:cs="Times New Roman"/>
              </w:rPr>
              <w:t>Description</w:t>
            </w:r>
          </w:p>
        </w:tc>
        <w:tc>
          <w:tcPr>
            <w:tcW w:w="3120" w:type="dxa"/>
            <w:tcBorders>
              <w:top w:val="single" w:sz="6" w:space="0" w:color="000000"/>
              <w:left w:val="single" w:sz="6" w:space="0" w:color="000000"/>
              <w:bottom w:val="single" w:sz="6" w:space="0" w:color="000000"/>
              <w:right w:val="single" w:sz="6" w:space="0" w:color="000000"/>
            </w:tcBorders>
            <w:shd w:val="clear" w:color="auto" w:fill="F2F2F2"/>
            <w:tcMar>
              <w:top w:w="120" w:type="dxa"/>
              <w:left w:w="120" w:type="dxa"/>
              <w:bottom w:w="120" w:type="dxa"/>
              <w:right w:w="120" w:type="dxa"/>
            </w:tcMar>
            <w:hideMark/>
          </w:tcPr>
          <w:p w14:paraId="055FC9C7" w14:textId="77777777" w:rsidR="006858F3" w:rsidRPr="002C0C6C" w:rsidRDefault="006858F3">
            <w:pPr>
              <w:spacing w:before="120" w:after="120"/>
              <w:jc w:val="center"/>
              <w:rPr>
                <w:rFonts w:ascii="Times New Roman" w:eastAsia="Times" w:hAnsi="Times New Roman" w:cs="Times New Roman"/>
              </w:rPr>
            </w:pPr>
            <w:r w:rsidRPr="002C0C6C">
              <w:rPr>
                <w:rFonts w:ascii="Times New Roman" w:eastAsia="Times" w:hAnsi="Times New Roman" w:cs="Times New Roman"/>
              </w:rPr>
              <w:t>Supporting Evidence</w:t>
            </w:r>
          </w:p>
          <w:p w14:paraId="46CC82E7" w14:textId="77777777" w:rsidR="006858F3" w:rsidRPr="002C0C6C" w:rsidRDefault="006858F3">
            <w:pPr>
              <w:rPr>
                <w:rFonts w:ascii="Times New Roman" w:eastAsia="Times" w:hAnsi="Times New Roman" w:cs="Times New Roman"/>
              </w:rPr>
            </w:pPr>
            <w:r w:rsidRPr="002C0C6C">
              <w:rPr>
                <w:rFonts w:ascii="Times New Roman" w:eastAsia="Times" w:hAnsi="Times New Roman" w:cs="Times New Roman"/>
              </w:rPr>
              <w:t xml:space="preserve"> </w:t>
            </w:r>
          </w:p>
        </w:tc>
      </w:tr>
      <w:tr w:rsidR="006858F3" w:rsidRPr="002C0C6C" w14:paraId="4395A835" w14:textId="77777777" w:rsidTr="006858F3">
        <w:tc>
          <w:tcPr>
            <w:tcW w:w="312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15FA8408" w14:textId="77777777" w:rsidR="006858F3" w:rsidRPr="002C0C6C" w:rsidRDefault="006858F3">
            <w:pPr>
              <w:spacing w:before="120" w:after="120"/>
              <w:rPr>
                <w:rFonts w:ascii="Times New Roman" w:eastAsia="Times" w:hAnsi="Times New Roman" w:cs="Times New Roman"/>
                <w:b/>
                <w:bCs/>
              </w:rPr>
            </w:pPr>
            <w:r w:rsidRPr="002C0C6C">
              <w:rPr>
                <w:rFonts w:ascii="Times New Roman" w:eastAsia="Times" w:hAnsi="Times New Roman" w:cs="Times New Roman"/>
                <w:b/>
                <w:bCs/>
              </w:rPr>
              <w:t>1. Unified Standards</w:t>
            </w:r>
          </w:p>
        </w:tc>
        <w:tc>
          <w:tcPr>
            <w:tcW w:w="312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46A7F428" w14:textId="77777777" w:rsidR="006858F3" w:rsidRPr="002C0C6C" w:rsidRDefault="006858F3">
            <w:pPr>
              <w:spacing w:before="120" w:after="120"/>
              <w:rPr>
                <w:rFonts w:ascii="Times New Roman" w:eastAsia="Times" w:hAnsi="Times New Roman" w:cs="Times New Roman"/>
              </w:rPr>
            </w:pPr>
            <w:r w:rsidRPr="002C0C6C">
              <w:rPr>
                <w:rFonts w:ascii="Times New Roman" w:eastAsia="Times" w:hAnsi="Times New Roman" w:cs="Times New Roman"/>
              </w:rPr>
              <w:t>Mutual credit recognition and joint development of vocational curriculum.</w:t>
            </w:r>
          </w:p>
        </w:tc>
        <w:tc>
          <w:tcPr>
            <w:tcW w:w="312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344E86C9" w14:textId="77777777" w:rsidR="006858F3" w:rsidRPr="002C0C6C" w:rsidRDefault="006858F3">
            <w:pPr>
              <w:spacing w:before="120" w:after="120"/>
              <w:rPr>
                <w:rFonts w:ascii="Times New Roman" w:eastAsia="Times" w:hAnsi="Times New Roman" w:cs="Times New Roman"/>
              </w:rPr>
            </w:pPr>
            <w:r w:rsidRPr="002C0C6C">
              <w:rPr>
                <w:rFonts w:ascii="Times New Roman" w:eastAsia="Times" w:hAnsi="Times New Roman" w:cs="Times New Roman"/>
              </w:rPr>
              <w:t>Lan &amp; Wang (2023); Ren &amp; Liu (2019)</w:t>
            </w:r>
          </w:p>
        </w:tc>
      </w:tr>
      <w:tr w:rsidR="006858F3" w:rsidRPr="002C0C6C" w14:paraId="64733119" w14:textId="77777777" w:rsidTr="006858F3">
        <w:tc>
          <w:tcPr>
            <w:tcW w:w="312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5F62D544" w14:textId="77777777" w:rsidR="006858F3" w:rsidRPr="002C0C6C" w:rsidRDefault="006858F3">
            <w:pPr>
              <w:spacing w:before="120" w:after="120"/>
              <w:rPr>
                <w:rFonts w:ascii="Times New Roman" w:eastAsia="Times" w:hAnsi="Times New Roman" w:cs="Times New Roman"/>
                <w:b/>
                <w:bCs/>
              </w:rPr>
            </w:pPr>
            <w:r w:rsidRPr="002C0C6C">
              <w:rPr>
                <w:rFonts w:ascii="Times New Roman" w:eastAsia="Times" w:hAnsi="Times New Roman" w:cs="Times New Roman"/>
                <w:b/>
                <w:bCs/>
              </w:rPr>
              <w:t>2. Shared Resources</w:t>
            </w:r>
          </w:p>
        </w:tc>
        <w:tc>
          <w:tcPr>
            <w:tcW w:w="312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6D9C6DA3" w14:textId="77777777" w:rsidR="006858F3" w:rsidRPr="002C0C6C" w:rsidRDefault="006858F3">
            <w:pPr>
              <w:spacing w:before="120" w:after="120"/>
              <w:rPr>
                <w:rFonts w:ascii="Times New Roman" w:eastAsia="Times" w:hAnsi="Times New Roman" w:cs="Times New Roman"/>
              </w:rPr>
            </w:pPr>
            <w:r w:rsidRPr="002C0C6C">
              <w:rPr>
                <w:rFonts w:ascii="Times New Roman" w:eastAsia="Times" w:hAnsi="Times New Roman" w:cs="Times New Roman"/>
              </w:rPr>
              <w:t>Creation of digital teaching platforms and joint publication of materials.</w:t>
            </w:r>
          </w:p>
        </w:tc>
        <w:tc>
          <w:tcPr>
            <w:tcW w:w="312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2527018C" w14:textId="77777777" w:rsidR="006858F3" w:rsidRPr="002C0C6C" w:rsidRDefault="006858F3">
            <w:pPr>
              <w:spacing w:before="120" w:after="120"/>
              <w:rPr>
                <w:rFonts w:ascii="Times New Roman" w:eastAsia="Times" w:hAnsi="Times New Roman" w:cs="Times New Roman"/>
              </w:rPr>
            </w:pPr>
            <w:r w:rsidRPr="002C0C6C">
              <w:rPr>
                <w:rFonts w:ascii="Times New Roman" w:eastAsia="Times" w:hAnsi="Times New Roman" w:cs="Times New Roman"/>
              </w:rPr>
              <w:t>Gao &amp; Zhong (2021); Mu (2020)</w:t>
            </w:r>
          </w:p>
        </w:tc>
      </w:tr>
      <w:tr w:rsidR="006858F3" w:rsidRPr="002C0C6C" w14:paraId="1E382BE3" w14:textId="77777777" w:rsidTr="006858F3">
        <w:tc>
          <w:tcPr>
            <w:tcW w:w="312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322F72BC" w14:textId="77777777" w:rsidR="006858F3" w:rsidRPr="002C0C6C" w:rsidRDefault="006858F3">
            <w:pPr>
              <w:spacing w:before="120" w:after="120"/>
              <w:rPr>
                <w:rFonts w:ascii="Times New Roman" w:eastAsia="Times" w:hAnsi="Times New Roman" w:cs="Times New Roman"/>
                <w:b/>
                <w:bCs/>
              </w:rPr>
            </w:pPr>
            <w:r w:rsidRPr="002C0C6C">
              <w:rPr>
                <w:rFonts w:ascii="Times New Roman" w:eastAsia="Times" w:hAnsi="Times New Roman" w:cs="Times New Roman"/>
                <w:b/>
                <w:bCs/>
              </w:rPr>
              <w:t>3. Student Exchange</w:t>
            </w:r>
          </w:p>
        </w:tc>
        <w:tc>
          <w:tcPr>
            <w:tcW w:w="312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61516A4A" w14:textId="77777777" w:rsidR="006858F3" w:rsidRPr="002C0C6C" w:rsidRDefault="006858F3">
            <w:pPr>
              <w:spacing w:before="120" w:after="120"/>
              <w:rPr>
                <w:rFonts w:ascii="Times New Roman" w:eastAsia="Times" w:hAnsi="Times New Roman" w:cs="Times New Roman"/>
              </w:rPr>
            </w:pPr>
            <w:r w:rsidRPr="002C0C6C">
              <w:rPr>
                <w:rFonts w:ascii="Times New Roman" w:eastAsia="Times" w:hAnsi="Times New Roman" w:cs="Times New Roman"/>
              </w:rPr>
              <w:t>Facilitating cross-border internships and technical sports training.</w:t>
            </w:r>
          </w:p>
        </w:tc>
        <w:tc>
          <w:tcPr>
            <w:tcW w:w="312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0B678A7A" w14:textId="77777777" w:rsidR="006858F3" w:rsidRPr="002C0C6C" w:rsidRDefault="006858F3">
            <w:pPr>
              <w:spacing w:before="120" w:after="120"/>
              <w:rPr>
                <w:rFonts w:ascii="Times New Roman" w:eastAsia="Times" w:hAnsi="Times New Roman" w:cs="Times New Roman"/>
              </w:rPr>
            </w:pPr>
            <w:r w:rsidRPr="002C0C6C">
              <w:rPr>
                <w:rFonts w:ascii="Times New Roman" w:eastAsia="Times" w:hAnsi="Times New Roman" w:cs="Times New Roman"/>
              </w:rPr>
              <w:t xml:space="preserve">Shi &amp; Lan (2022); </w:t>
            </w:r>
            <w:proofErr w:type="spellStart"/>
            <w:r w:rsidRPr="002C0C6C">
              <w:rPr>
                <w:rFonts w:ascii="Times New Roman" w:eastAsia="Times" w:hAnsi="Times New Roman" w:cs="Times New Roman"/>
              </w:rPr>
              <w:t>Diao</w:t>
            </w:r>
            <w:proofErr w:type="spellEnd"/>
            <w:r w:rsidRPr="002C0C6C">
              <w:rPr>
                <w:rFonts w:ascii="Times New Roman" w:eastAsia="Times" w:hAnsi="Times New Roman" w:cs="Times New Roman"/>
              </w:rPr>
              <w:t xml:space="preserve"> (2021)</w:t>
            </w:r>
          </w:p>
        </w:tc>
      </w:tr>
      <w:tr w:rsidR="006858F3" w:rsidRPr="002C0C6C" w14:paraId="7DC2BF7C" w14:textId="77777777" w:rsidTr="006858F3">
        <w:tc>
          <w:tcPr>
            <w:tcW w:w="312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6BF85477" w14:textId="77777777" w:rsidR="006858F3" w:rsidRPr="002C0C6C" w:rsidRDefault="006858F3">
            <w:pPr>
              <w:spacing w:before="120" w:after="120"/>
              <w:rPr>
                <w:rFonts w:ascii="Times New Roman" w:eastAsia="Times" w:hAnsi="Times New Roman" w:cs="Times New Roman"/>
                <w:b/>
                <w:bCs/>
              </w:rPr>
            </w:pPr>
            <w:r w:rsidRPr="002C0C6C">
              <w:rPr>
                <w:rFonts w:ascii="Times New Roman" w:eastAsia="Times" w:hAnsi="Times New Roman" w:cs="Times New Roman"/>
                <w:b/>
                <w:bCs/>
              </w:rPr>
              <w:t>4. Policy Coordination</w:t>
            </w:r>
          </w:p>
        </w:tc>
        <w:tc>
          <w:tcPr>
            <w:tcW w:w="312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30CD517E" w14:textId="77777777" w:rsidR="006858F3" w:rsidRPr="002C0C6C" w:rsidRDefault="006858F3">
            <w:pPr>
              <w:spacing w:before="120" w:after="120"/>
              <w:rPr>
                <w:rFonts w:ascii="Times New Roman" w:eastAsia="Times" w:hAnsi="Times New Roman" w:cs="Times New Roman"/>
              </w:rPr>
            </w:pPr>
            <w:r w:rsidRPr="002C0C6C">
              <w:rPr>
                <w:rFonts w:ascii="Times New Roman" w:eastAsia="Times" w:hAnsi="Times New Roman" w:cs="Times New Roman"/>
              </w:rPr>
              <w:t>Government-led funding and trilateral institutional MOUs.</w:t>
            </w:r>
          </w:p>
        </w:tc>
        <w:tc>
          <w:tcPr>
            <w:tcW w:w="312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4FBC16C7" w14:textId="77777777" w:rsidR="006858F3" w:rsidRPr="002C0C6C" w:rsidRDefault="006858F3">
            <w:pPr>
              <w:spacing w:before="120" w:after="120"/>
              <w:rPr>
                <w:rFonts w:ascii="Times New Roman" w:eastAsia="Times" w:hAnsi="Times New Roman" w:cs="Times New Roman"/>
              </w:rPr>
            </w:pPr>
            <w:proofErr w:type="spellStart"/>
            <w:r w:rsidRPr="002C0C6C">
              <w:rPr>
                <w:rFonts w:ascii="Times New Roman" w:eastAsia="Times" w:hAnsi="Times New Roman" w:cs="Times New Roman"/>
              </w:rPr>
              <w:t>Nie</w:t>
            </w:r>
            <w:proofErr w:type="spellEnd"/>
            <w:r w:rsidRPr="002C0C6C">
              <w:rPr>
                <w:rFonts w:ascii="Times New Roman" w:eastAsia="Times" w:hAnsi="Times New Roman" w:cs="Times New Roman"/>
              </w:rPr>
              <w:t xml:space="preserve"> (2021); Zhang (2020)</w:t>
            </w:r>
          </w:p>
        </w:tc>
      </w:tr>
    </w:tbl>
    <w:p w14:paraId="3338E72B" w14:textId="77777777" w:rsidR="006858F3" w:rsidRPr="002C0C6C" w:rsidRDefault="006858F3" w:rsidP="006858F3">
      <w:pPr>
        <w:pStyle w:val="3"/>
        <w:spacing w:before="300"/>
        <w:rPr>
          <w:rFonts w:ascii="Times New Roman" w:eastAsia="Times" w:hAnsi="Times New Roman" w:cs="Times New Roman"/>
          <w:sz w:val="24"/>
          <w:szCs w:val="24"/>
        </w:rPr>
      </w:pPr>
      <w:r w:rsidRPr="002C0C6C">
        <w:rPr>
          <w:rFonts w:ascii="Times New Roman" w:eastAsia="Times" w:hAnsi="Times New Roman" w:cs="Times New Roman"/>
          <w:sz w:val="24"/>
          <w:szCs w:val="24"/>
        </w:rPr>
        <w:lastRenderedPageBreak/>
        <w:t>5.2 Major Barriers and Challenges</w:t>
      </w:r>
    </w:p>
    <w:p w14:paraId="29091E7C" w14:textId="77777777" w:rsidR="006858F3" w:rsidRPr="002C0C6C" w:rsidRDefault="006858F3" w:rsidP="005B347D">
      <w:pPr>
        <w:spacing w:after="600" w:line="360" w:lineRule="auto"/>
        <w:ind w:firstLine="72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Despite the momentum, the research identifies critical bottlenecks that impede the "Degree Ceiling" breakthrough for vocational students. The lack of a centralized coordination unit remains the most significant administrative obstacle.</w:t>
      </w:r>
    </w:p>
    <w:p w14:paraId="5DE347EC" w14:textId="77777777" w:rsidR="006858F3" w:rsidRPr="002C0C6C" w:rsidRDefault="006858F3" w:rsidP="006858F3">
      <w:pPr>
        <w:pStyle w:val="2"/>
        <w:spacing w:before="0" w:after="240"/>
        <w:rPr>
          <w:rFonts w:ascii="Times New Roman" w:eastAsia="Times" w:hAnsi="Times New Roman" w:cs="Times New Roman"/>
          <w:sz w:val="24"/>
          <w:szCs w:val="24"/>
        </w:rPr>
      </w:pPr>
      <w:bookmarkStart w:id="9" w:name="OLE_LINK10"/>
      <w:bookmarkEnd w:id="8"/>
      <w:r w:rsidRPr="002C0C6C">
        <w:rPr>
          <w:rFonts w:ascii="Times New Roman" w:eastAsia="Times" w:hAnsi="Times New Roman" w:cs="Times New Roman"/>
          <w:sz w:val="24"/>
          <w:szCs w:val="24"/>
        </w:rPr>
        <w:t>6. Discussion</w:t>
      </w:r>
    </w:p>
    <w:p w14:paraId="734B1082" w14:textId="77777777" w:rsidR="006858F3" w:rsidRPr="002C0C6C" w:rsidRDefault="006858F3" w:rsidP="006858F3">
      <w:pPr>
        <w:pStyle w:val="3"/>
        <w:spacing w:before="0"/>
        <w:rPr>
          <w:rFonts w:ascii="Times New Roman" w:eastAsia="Times" w:hAnsi="Times New Roman" w:cs="Times New Roman"/>
          <w:sz w:val="24"/>
          <w:szCs w:val="24"/>
        </w:rPr>
      </w:pPr>
      <w:r w:rsidRPr="002C0C6C">
        <w:rPr>
          <w:rFonts w:ascii="Times New Roman" w:eastAsia="Times" w:hAnsi="Times New Roman" w:cs="Times New Roman"/>
          <w:sz w:val="24"/>
          <w:szCs w:val="24"/>
        </w:rPr>
        <w:t>6.1 The "2+1+2" Model as a Strategic Solution</w:t>
      </w:r>
    </w:p>
    <w:p w14:paraId="21C53B06" w14:textId="45CA4422" w:rsidR="006858F3" w:rsidRDefault="006858F3" w:rsidP="005B347D">
      <w:pPr>
        <w:spacing w:after="150" w:line="360" w:lineRule="auto"/>
        <w:ind w:firstLine="72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 xml:space="preserve">To address the critical barriers identified, the authors propose the </w:t>
      </w:r>
      <w:r w:rsidRPr="002C0C6C">
        <w:rPr>
          <w:rFonts w:ascii="Times New Roman" w:eastAsia="Times" w:hAnsi="Times New Roman" w:cs="Times New Roman"/>
          <w:b/>
          <w:bCs/>
          <w:sz w:val="24"/>
          <w:szCs w:val="24"/>
        </w:rPr>
        <w:t>"2+1+2" Model</w:t>
      </w:r>
      <w:r w:rsidRPr="002C0C6C">
        <w:rPr>
          <w:rFonts w:ascii="Times New Roman" w:eastAsia="Times" w:hAnsi="Times New Roman" w:cs="Times New Roman"/>
          <w:sz w:val="24"/>
          <w:szCs w:val="24"/>
        </w:rPr>
        <w:t>. This innovative pathway provides a seamless academic transition for Chinese associate degree graduates into international bachelor's programs in Thailand and Vietnam.</w:t>
      </w:r>
    </w:p>
    <w:p w14:paraId="2061949C" w14:textId="64061204" w:rsidR="00A23638" w:rsidRPr="002C0C6C" w:rsidRDefault="00A23638" w:rsidP="006858F3">
      <w:pPr>
        <w:spacing w:after="150" w:line="360" w:lineRule="auto"/>
        <w:jc w:val="both"/>
        <w:rPr>
          <w:rFonts w:ascii="Times New Roman" w:eastAsia="Times" w:hAnsi="Times New Roman" w:cs="Times New Roman"/>
          <w:sz w:val="24"/>
          <w:szCs w:val="24"/>
        </w:rPr>
      </w:pPr>
      <w:r w:rsidRPr="00A23638">
        <w:rPr>
          <w:rFonts w:ascii="Times New Roman" w:eastAsia="Times" w:hAnsi="Times New Roman" w:cs="Times New Roman"/>
          <w:b/>
          <w:bCs/>
          <w:sz w:val="24"/>
          <w:szCs w:val="24"/>
        </w:rPr>
        <w:t>Table 2:</w:t>
      </w:r>
      <w:r w:rsidRPr="00A23638">
        <w:rPr>
          <w:rFonts w:ascii="Times New Roman" w:eastAsia="Times" w:hAnsi="Times New Roman" w:cs="Times New Roman"/>
          <w:sz w:val="24"/>
          <w:szCs w:val="24"/>
        </w:rPr>
        <w:t xml:space="preserve"> Structural Components and Strategic Objectives of the "2+1+2" Model</w:t>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40"/>
        <w:gridCol w:w="2340"/>
        <w:gridCol w:w="2340"/>
        <w:gridCol w:w="2340"/>
      </w:tblGrid>
      <w:tr w:rsidR="006858F3" w:rsidRPr="002C0C6C" w14:paraId="52C66429" w14:textId="77777777" w:rsidTr="006858F3">
        <w:trPr>
          <w:tblHeader/>
        </w:trPr>
        <w:tc>
          <w:tcPr>
            <w:tcW w:w="2340" w:type="dxa"/>
            <w:tcBorders>
              <w:top w:val="single" w:sz="6" w:space="0" w:color="000000"/>
              <w:left w:val="single" w:sz="6" w:space="0" w:color="000000"/>
              <w:bottom w:val="single" w:sz="6" w:space="0" w:color="000000"/>
              <w:right w:val="single" w:sz="6" w:space="0" w:color="000000"/>
            </w:tcBorders>
            <w:shd w:val="clear" w:color="auto" w:fill="F2F2F2"/>
            <w:tcMar>
              <w:top w:w="120" w:type="dxa"/>
              <w:left w:w="120" w:type="dxa"/>
              <w:bottom w:w="120" w:type="dxa"/>
              <w:right w:w="120" w:type="dxa"/>
            </w:tcMar>
            <w:hideMark/>
          </w:tcPr>
          <w:p w14:paraId="267608F5" w14:textId="77777777" w:rsidR="006858F3" w:rsidRPr="002C0C6C" w:rsidRDefault="006858F3">
            <w:pPr>
              <w:spacing w:before="120" w:after="120"/>
              <w:jc w:val="center"/>
              <w:rPr>
                <w:rFonts w:ascii="Times New Roman" w:eastAsia="Times" w:hAnsi="Times New Roman" w:cs="Times New Roman"/>
              </w:rPr>
            </w:pPr>
            <w:r w:rsidRPr="002C0C6C">
              <w:rPr>
                <w:rFonts w:ascii="Times New Roman" w:eastAsia="Times" w:hAnsi="Times New Roman" w:cs="Times New Roman"/>
              </w:rPr>
              <w:t>Period</w:t>
            </w:r>
          </w:p>
        </w:tc>
        <w:tc>
          <w:tcPr>
            <w:tcW w:w="2340" w:type="dxa"/>
            <w:tcBorders>
              <w:top w:val="single" w:sz="6" w:space="0" w:color="000000"/>
              <w:left w:val="single" w:sz="6" w:space="0" w:color="000000"/>
              <w:bottom w:val="single" w:sz="6" w:space="0" w:color="000000"/>
              <w:right w:val="single" w:sz="6" w:space="0" w:color="000000"/>
            </w:tcBorders>
            <w:shd w:val="clear" w:color="auto" w:fill="F2F2F2"/>
            <w:tcMar>
              <w:top w:w="120" w:type="dxa"/>
              <w:left w:w="120" w:type="dxa"/>
              <w:bottom w:w="120" w:type="dxa"/>
              <w:right w:w="120" w:type="dxa"/>
            </w:tcMar>
            <w:hideMark/>
          </w:tcPr>
          <w:p w14:paraId="19426630" w14:textId="77777777" w:rsidR="006858F3" w:rsidRPr="002C0C6C" w:rsidRDefault="006858F3">
            <w:pPr>
              <w:spacing w:before="120" w:after="120"/>
              <w:jc w:val="center"/>
              <w:rPr>
                <w:rFonts w:ascii="Times New Roman" w:eastAsia="Times" w:hAnsi="Times New Roman" w:cs="Times New Roman"/>
              </w:rPr>
            </w:pPr>
            <w:r w:rsidRPr="002C0C6C">
              <w:rPr>
                <w:rFonts w:ascii="Times New Roman" w:eastAsia="Times" w:hAnsi="Times New Roman" w:cs="Times New Roman"/>
              </w:rPr>
              <w:t>Location</w:t>
            </w:r>
          </w:p>
        </w:tc>
        <w:tc>
          <w:tcPr>
            <w:tcW w:w="2340" w:type="dxa"/>
            <w:tcBorders>
              <w:top w:val="single" w:sz="6" w:space="0" w:color="000000"/>
              <w:left w:val="single" w:sz="6" w:space="0" w:color="000000"/>
              <w:bottom w:val="single" w:sz="6" w:space="0" w:color="000000"/>
              <w:right w:val="single" w:sz="6" w:space="0" w:color="000000"/>
            </w:tcBorders>
            <w:shd w:val="clear" w:color="auto" w:fill="F2F2F2"/>
            <w:tcMar>
              <w:top w:w="120" w:type="dxa"/>
              <w:left w:w="120" w:type="dxa"/>
              <w:bottom w:w="120" w:type="dxa"/>
              <w:right w:w="120" w:type="dxa"/>
            </w:tcMar>
            <w:hideMark/>
          </w:tcPr>
          <w:p w14:paraId="23570858" w14:textId="77777777" w:rsidR="006858F3" w:rsidRPr="002C0C6C" w:rsidRDefault="006858F3">
            <w:pPr>
              <w:spacing w:before="120" w:after="120"/>
              <w:jc w:val="center"/>
              <w:rPr>
                <w:rFonts w:ascii="Times New Roman" w:eastAsia="Times" w:hAnsi="Times New Roman" w:cs="Times New Roman"/>
              </w:rPr>
            </w:pPr>
            <w:r w:rsidRPr="002C0C6C">
              <w:rPr>
                <w:rFonts w:ascii="Times New Roman" w:eastAsia="Times" w:hAnsi="Times New Roman" w:cs="Times New Roman"/>
              </w:rPr>
              <w:t>Primary Activity</w:t>
            </w:r>
          </w:p>
        </w:tc>
        <w:tc>
          <w:tcPr>
            <w:tcW w:w="2340" w:type="dxa"/>
            <w:tcBorders>
              <w:top w:val="single" w:sz="6" w:space="0" w:color="000000"/>
              <w:left w:val="single" w:sz="6" w:space="0" w:color="000000"/>
              <w:bottom w:val="single" w:sz="6" w:space="0" w:color="000000"/>
              <w:right w:val="single" w:sz="6" w:space="0" w:color="000000"/>
            </w:tcBorders>
            <w:shd w:val="clear" w:color="auto" w:fill="F2F2F2"/>
            <w:tcMar>
              <w:top w:w="120" w:type="dxa"/>
              <w:left w:w="120" w:type="dxa"/>
              <w:bottom w:w="120" w:type="dxa"/>
              <w:right w:w="120" w:type="dxa"/>
            </w:tcMar>
            <w:hideMark/>
          </w:tcPr>
          <w:p w14:paraId="5CE7E7B1" w14:textId="77777777" w:rsidR="006858F3" w:rsidRPr="002C0C6C" w:rsidRDefault="006858F3">
            <w:pPr>
              <w:spacing w:before="120" w:after="120"/>
              <w:jc w:val="center"/>
              <w:rPr>
                <w:rFonts w:ascii="Times New Roman" w:eastAsia="Times" w:hAnsi="Times New Roman" w:cs="Times New Roman"/>
              </w:rPr>
            </w:pPr>
            <w:r w:rsidRPr="002C0C6C">
              <w:rPr>
                <w:rFonts w:ascii="Times New Roman" w:eastAsia="Times" w:hAnsi="Times New Roman" w:cs="Times New Roman"/>
              </w:rPr>
              <w:t>Barrier Addressed</w:t>
            </w:r>
          </w:p>
          <w:p w14:paraId="47B05554" w14:textId="77777777" w:rsidR="006858F3" w:rsidRPr="002C0C6C" w:rsidRDefault="006858F3">
            <w:pPr>
              <w:rPr>
                <w:rFonts w:ascii="Times New Roman" w:eastAsia="Times" w:hAnsi="Times New Roman" w:cs="Times New Roman"/>
              </w:rPr>
            </w:pPr>
            <w:r w:rsidRPr="002C0C6C">
              <w:rPr>
                <w:rFonts w:ascii="Times New Roman" w:eastAsia="Times" w:hAnsi="Times New Roman" w:cs="Times New Roman"/>
              </w:rPr>
              <w:t xml:space="preserve"> </w:t>
            </w:r>
          </w:p>
        </w:tc>
      </w:tr>
      <w:tr w:rsidR="006858F3" w:rsidRPr="002C0C6C" w14:paraId="05D1B3EC" w14:textId="77777777" w:rsidTr="006858F3">
        <w:tc>
          <w:tcPr>
            <w:tcW w:w="234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1FFD6146" w14:textId="77777777" w:rsidR="006858F3" w:rsidRPr="002C0C6C" w:rsidRDefault="006858F3">
            <w:pPr>
              <w:spacing w:before="120" w:after="120"/>
              <w:rPr>
                <w:rFonts w:ascii="Times New Roman" w:eastAsia="Times" w:hAnsi="Times New Roman" w:cs="Times New Roman"/>
                <w:b/>
                <w:bCs/>
              </w:rPr>
            </w:pPr>
            <w:r w:rsidRPr="002C0C6C">
              <w:rPr>
                <w:rFonts w:ascii="Times New Roman" w:eastAsia="Times" w:hAnsi="Times New Roman" w:cs="Times New Roman"/>
                <w:b/>
                <w:bCs/>
              </w:rPr>
              <w:t>Years 1-2</w:t>
            </w:r>
          </w:p>
        </w:tc>
        <w:tc>
          <w:tcPr>
            <w:tcW w:w="234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56896EE1" w14:textId="77777777" w:rsidR="006858F3" w:rsidRPr="002C0C6C" w:rsidRDefault="006858F3">
            <w:pPr>
              <w:spacing w:before="120" w:after="120"/>
              <w:rPr>
                <w:rFonts w:ascii="Times New Roman" w:eastAsia="Times" w:hAnsi="Times New Roman" w:cs="Times New Roman"/>
              </w:rPr>
            </w:pPr>
            <w:r w:rsidRPr="002C0C6C">
              <w:rPr>
                <w:rFonts w:ascii="Times New Roman" w:eastAsia="Times" w:hAnsi="Times New Roman" w:cs="Times New Roman"/>
              </w:rPr>
              <w:t>Guangxi, China</w:t>
            </w:r>
          </w:p>
        </w:tc>
        <w:tc>
          <w:tcPr>
            <w:tcW w:w="234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716F8D45" w14:textId="77777777" w:rsidR="006858F3" w:rsidRPr="002C0C6C" w:rsidRDefault="006858F3">
            <w:pPr>
              <w:spacing w:before="120" w:after="120"/>
              <w:rPr>
                <w:rFonts w:ascii="Times New Roman" w:eastAsia="Times" w:hAnsi="Times New Roman" w:cs="Times New Roman"/>
              </w:rPr>
            </w:pPr>
            <w:r w:rsidRPr="002C0C6C">
              <w:rPr>
                <w:rFonts w:ascii="Times New Roman" w:eastAsia="Times" w:hAnsi="Times New Roman" w:cs="Times New Roman"/>
              </w:rPr>
              <w:t>Associate degree + basic Thai/Vietnamese language training.</w:t>
            </w:r>
          </w:p>
        </w:tc>
        <w:tc>
          <w:tcPr>
            <w:tcW w:w="234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5F8B809B" w14:textId="77777777" w:rsidR="006858F3" w:rsidRPr="002C0C6C" w:rsidRDefault="006858F3">
            <w:pPr>
              <w:spacing w:before="120" w:after="120"/>
              <w:rPr>
                <w:rFonts w:ascii="Times New Roman" w:eastAsia="Times" w:hAnsi="Times New Roman" w:cs="Times New Roman"/>
              </w:rPr>
            </w:pPr>
            <w:r w:rsidRPr="002C0C6C">
              <w:rPr>
                <w:rFonts w:ascii="Times New Roman" w:eastAsia="Times" w:hAnsi="Times New Roman" w:cs="Times New Roman"/>
              </w:rPr>
              <w:t>Technical preparation</w:t>
            </w:r>
          </w:p>
        </w:tc>
      </w:tr>
      <w:tr w:rsidR="006858F3" w:rsidRPr="002C0C6C" w14:paraId="6A60D483" w14:textId="77777777" w:rsidTr="006858F3">
        <w:tc>
          <w:tcPr>
            <w:tcW w:w="234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58F010A4" w14:textId="77777777" w:rsidR="006858F3" w:rsidRPr="002C0C6C" w:rsidRDefault="006858F3">
            <w:pPr>
              <w:spacing w:before="120" w:after="120"/>
              <w:rPr>
                <w:rFonts w:ascii="Times New Roman" w:eastAsia="Times" w:hAnsi="Times New Roman" w:cs="Times New Roman"/>
                <w:b/>
                <w:bCs/>
              </w:rPr>
            </w:pPr>
            <w:r w:rsidRPr="002C0C6C">
              <w:rPr>
                <w:rFonts w:ascii="Times New Roman" w:eastAsia="Times" w:hAnsi="Times New Roman" w:cs="Times New Roman"/>
                <w:b/>
                <w:bCs/>
              </w:rPr>
              <w:t>Year 3</w:t>
            </w:r>
          </w:p>
        </w:tc>
        <w:tc>
          <w:tcPr>
            <w:tcW w:w="234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0CBB4E5B" w14:textId="77777777" w:rsidR="006858F3" w:rsidRPr="002C0C6C" w:rsidRDefault="006858F3">
            <w:pPr>
              <w:spacing w:before="120" w:after="120"/>
              <w:rPr>
                <w:rFonts w:ascii="Times New Roman" w:eastAsia="Times" w:hAnsi="Times New Roman" w:cs="Times New Roman"/>
              </w:rPr>
            </w:pPr>
            <w:r w:rsidRPr="002C0C6C">
              <w:rPr>
                <w:rFonts w:ascii="Times New Roman" w:eastAsia="Times" w:hAnsi="Times New Roman" w:cs="Times New Roman"/>
              </w:rPr>
              <w:t>Thailand/Vietnam</w:t>
            </w:r>
          </w:p>
        </w:tc>
        <w:tc>
          <w:tcPr>
            <w:tcW w:w="234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08B9A652" w14:textId="77777777" w:rsidR="006858F3" w:rsidRPr="00BE6606" w:rsidRDefault="006858F3">
            <w:pPr>
              <w:spacing w:before="120" w:after="120"/>
              <w:rPr>
                <w:rFonts w:ascii="Times New Roman" w:eastAsia="Times" w:hAnsi="Times New Roman" w:cstheme="minorBidi"/>
                <w:cs/>
              </w:rPr>
            </w:pPr>
            <w:r w:rsidRPr="002C0C6C">
              <w:rPr>
                <w:rFonts w:ascii="Times New Roman" w:eastAsia="Times" w:hAnsi="Times New Roman" w:cs="Times New Roman"/>
              </w:rPr>
              <w:t>Exchange year: intensive language immersion and internships.</w:t>
            </w:r>
          </w:p>
        </w:tc>
        <w:tc>
          <w:tcPr>
            <w:tcW w:w="234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552E402D" w14:textId="77777777" w:rsidR="006858F3" w:rsidRPr="002C0C6C" w:rsidRDefault="006858F3">
            <w:pPr>
              <w:spacing w:before="120" w:after="120"/>
              <w:rPr>
                <w:rFonts w:ascii="Times New Roman" w:eastAsia="Times" w:hAnsi="Times New Roman" w:cs="Times New Roman"/>
              </w:rPr>
            </w:pPr>
            <w:r w:rsidRPr="002C0C6C">
              <w:rPr>
                <w:rFonts w:ascii="Times New Roman" w:eastAsia="Times" w:hAnsi="Times New Roman" w:cs="Times New Roman"/>
              </w:rPr>
              <w:t>Cultural/Language barrier</w:t>
            </w:r>
          </w:p>
        </w:tc>
      </w:tr>
      <w:tr w:rsidR="006858F3" w:rsidRPr="002C0C6C" w14:paraId="3CD76AE6" w14:textId="77777777" w:rsidTr="006858F3">
        <w:tc>
          <w:tcPr>
            <w:tcW w:w="234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1FC5A173" w14:textId="77777777" w:rsidR="006858F3" w:rsidRPr="002C0C6C" w:rsidRDefault="006858F3">
            <w:pPr>
              <w:spacing w:before="120" w:after="120"/>
              <w:rPr>
                <w:rFonts w:ascii="Times New Roman" w:eastAsia="Times" w:hAnsi="Times New Roman" w:cs="Times New Roman"/>
                <w:b/>
                <w:bCs/>
              </w:rPr>
            </w:pPr>
            <w:r w:rsidRPr="002C0C6C">
              <w:rPr>
                <w:rFonts w:ascii="Times New Roman" w:eastAsia="Times" w:hAnsi="Times New Roman" w:cs="Times New Roman"/>
                <w:b/>
                <w:bCs/>
              </w:rPr>
              <w:t>Years 4-5</w:t>
            </w:r>
          </w:p>
        </w:tc>
        <w:tc>
          <w:tcPr>
            <w:tcW w:w="234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7BCF75EA" w14:textId="77777777" w:rsidR="006858F3" w:rsidRPr="002C0C6C" w:rsidRDefault="006858F3">
            <w:pPr>
              <w:spacing w:before="120" w:after="120"/>
              <w:rPr>
                <w:rFonts w:ascii="Times New Roman" w:eastAsia="Times" w:hAnsi="Times New Roman" w:cs="Times New Roman"/>
              </w:rPr>
            </w:pPr>
            <w:r w:rsidRPr="002C0C6C">
              <w:rPr>
                <w:rFonts w:ascii="Times New Roman" w:eastAsia="Times" w:hAnsi="Times New Roman" w:cs="Times New Roman"/>
              </w:rPr>
              <w:t>Thailand/Vietnam</w:t>
            </w:r>
          </w:p>
        </w:tc>
        <w:tc>
          <w:tcPr>
            <w:tcW w:w="234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60EB9A9A" w14:textId="77777777" w:rsidR="006858F3" w:rsidRPr="002C0C6C" w:rsidRDefault="006858F3">
            <w:pPr>
              <w:spacing w:before="120" w:after="120"/>
              <w:rPr>
                <w:rFonts w:ascii="Times New Roman" w:eastAsia="Times" w:hAnsi="Times New Roman" w:cs="Times New Roman"/>
              </w:rPr>
            </w:pPr>
            <w:r w:rsidRPr="002C0C6C">
              <w:rPr>
                <w:rFonts w:ascii="Times New Roman" w:eastAsia="Times" w:hAnsi="Times New Roman" w:cs="Times New Roman"/>
              </w:rPr>
              <w:t>2-year top-up bachelor’s degree program.</w:t>
            </w:r>
          </w:p>
        </w:tc>
        <w:tc>
          <w:tcPr>
            <w:tcW w:w="234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4996E4E1" w14:textId="77777777" w:rsidR="006858F3" w:rsidRPr="002C0C6C" w:rsidRDefault="006858F3">
            <w:pPr>
              <w:spacing w:before="120" w:after="120"/>
              <w:rPr>
                <w:rFonts w:ascii="Times New Roman" w:eastAsia="Times" w:hAnsi="Times New Roman" w:cs="Times New Roman"/>
              </w:rPr>
            </w:pPr>
            <w:r w:rsidRPr="002C0C6C">
              <w:rPr>
                <w:rFonts w:ascii="Times New Roman" w:eastAsia="Times" w:hAnsi="Times New Roman" w:cs="Times New Roman"/>
              </w:rPr>
              <w:t>"Degree Ceiling" breakthrough</w:t>
            </w:r>
          </w:p>
        </w:tc>
      </w:tr>
    </w:tbl>
    <w:p w14:paraId="20049F2A" w14:textId="77777777" w:rsidR="00E167AE" w:rsidRDefault="00E167AE" w:rsidP="005B347D">
      <w:pPr>
        <w:spacing w:before="300" w:line="360" w:lineRule="auto"/>
        <w:ind w:firstLine="720"/>
        <w:jc w:val="both"/>
        <w:rPr>
          <w:rFonts w:ascii="Times New Roman" w:eastAsia="Times" w:hAnsi="Times New Roman" w:cs="Times New Roman"/>
          <w:sz w:val="24"/>
          <w:szCs w:val="24"/>
        </w:rPr>
      </w:pPr>
      <w:r w:rsidRPr="00E167AE">
        <w:rPr>
          <w:rFonts w:ascii="Times New Roman" w:eastAsia="Times" w:hAnsi="Times New Roman" w:cs="Times New Roman"/>
          <w:sz w:val="24"/>
          <w:szCs w:val="24"/>
        </w:rPr>
        <w:t>Students may choose either the Thailand or Vietnam track based on their language training (Thai or Vietnamese). Both tracks lead to a bachelor’s degree and can be extended to master’s and doctoral levels at the same institution.</w:t>
      </w:r>
    </w:p>
    <w:p w14:paraId="2F2CC742" w14:textId="54103D01" w:rsidR="006858F3" w:rsidRPr="002C0C6C" w:rsidRDefault="006858F3" w:rsidP="005B347D">
      <w:pPr>
        <w:spacing w:before="300" w:line="360" w:lineRule="auto"/>
        <w:ind w:firstLine="72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 xml:space="preserve">This model is consistent with the findings of </w:t>
      </w:r>
      <w:proofErr w:type="spellStart"/>
      <w:r w:rsidRPr="002C0C6C">
        <w:rPr>
          <w:rFonts w:ascii="Times New Roman" w:eastAsia="Times" w:hAnsi="Times New Roman" w:cs="Times New Roman"/>
          <w:sz w:val="24"/>
          <w:szCs w:val="24"/>
        </w:rPr>
        <w:t>Glassbrook</w:t>
      </w:r>
      <w:proofErr w:type="spellEnd"/>
      <w:r w:rsidRPr="002C0C6C">
        <w:rPr>
          <w:rFonts w:ascii="Times New Roman" w:eastAsia="Times" w:hAnsi="Times New Roman" w:cs="Times New Roman"/>
          <w:sz w:val="24"/>
          <w:szCs w:val="24"/>
        </w:rPr>
        <w:t xml:space="preserve"> et al. (2022), who emphasized that </w:t>
      </w:r>
      <w:r w:rsidRPr="002C0C6C">
        <w:rPr>
          <w:rFonts w:ascii="Times New Roman" w:eastAsia="Times" w:hAnsi="Times New Roman" w:cs="Times New Roman"/>
          <w:sz w:val="24"/>
          <w:szCs w:val="24"/>
        </w:rPr>
        <w:lastRenderedPageBreak/>
        <w:t xml:space="preserve">performance systems must account for individual and institutional differences. By utilizing the "2+1+2" structure, students achieve a globally recognized degree with </w:t>
      </w:r>
      <w:r w:rsidR="00FA4F70" w:rsidRPr="002C0C6C">
        <w:rPr>
          <w:rFonts w:ascii="Times New Roman" w:eastAsia="Times" w:hAnsi="Times New Roman" w:cs="Times New Roman"/>
          <w:b/>
          <w:bCs/>
          <w:sz w:val="24"/>
          <w:szCs w:val="24"/>
        </w:rPr>
        <w:t>zero-time</w:t>
      </w:r>
      <w:r w:rsidRPr="002C0C6C">
        <w:rPr>
          <w:rFonts w:ascii="Times New Roman" w:eastAsia="Times" w:hAnsi="Times New Roman" w:cs="Times New Roman"/>
          <w:b/>
          <w:bCs/>
          <w:sz w:val="24"/>
          <w:szCs w:val="24"/>
        </w:rPr>
        <w:t xml:space="preserve"> loss</w:t>
      </w:r>
      <w:r w:rsidRPr="002C0C6C">
        <w:rPr>
          <w:rFonts w:ascii="Times New Roman" w:eastAsia="Times" w:hAnsi="Times New Roman" w:cs="Times New Roman"/>
          <w:sz w:val="24"/>
          <w:szCs w:val="24"/>
        </w:rPr>
        <w:t xml:space="preserve"> compared to traditional four-year programs, while institutions benefit from a standardized coordination hub (Feng, 2020; </w:t>
      </w:r>
      <w:proofErr w:type="spellStart"/>
      <w:r w:rsidRPr="002C0C6C">
        <w:rPr>
          <w:rFonts w:ascii="Times New Roman" w:eastAsia="Times" w:hAnsi="Times New Roman" w:cs="Times New Roman"/>
          <w:sz w:val="24"/>
          <w:szCs w:val="24"/>
        </w:rPr>
        <w:t>Matulaitis</w:t>
      </w:r>
      <w:proofErr w:type="spellEnd"/>
      <w:r w:rsidRPr="002C0C6C">
        <w:rPr>
          <w:rFonts w:ascii="Times New Roman" w:eastAsia="Times" w:hAnsi="Times New Roman" w:cs="Times New Roman"/>
          <w:sz w:val="24"/>
          <w:szCs w:val="24"/>
        </w:rPr>
        <w:t xml:space="preserve"> et al., 2019).</w:t>
      </w:r>
    </w:p>
    <w:bookmarkEnd w:id="9"/>
    <w:p w14:paraId="1571AE27" w14:textId="77777777" w:rsidR="006858F3" w:rsidRPr="002C0C6C" w:rsidRDefault="006858F3" w:rsidP="006858F3">
      <w:pPr>
        <w:pStyle w:val="2"/>
        <w:spacing w:before="0" w:after="0"/>
        <w:rPr>
          <w:rFonts w:ascii="Times New Roman" w:hAnsi="Times New Roman" w:cs="Times New Roman"/>
          <w:b w:val="0"/>
          <w:bCs w:val="0"/>
          <w:color w:val="000000"/>
          <w:sz w:val="22"/>
          <w:szCs w:val="22"/>
        </w:rPr>
      </w:pPr>
    </w:p>
    <w:p w14:paraId="4532C504" w14:textId="77777777" w:rsidR="006858F3" w:rsidRPr="002C0C6C" w:rsidRDefault="006858F3" w:rsidP="006858F3">
      <w:pPr>
        <w:spacing w:before="225" w:after="225"/>
        <w:rPr>
          <w:rFonts w:ascii="Times New Roman" w:eastAsia="Times" w:hAnsi="Times New Roman" w:cs="Times New Roman"/>
          <w:b/>
          <w:bCs/>
          <w:sz w:val="24"/>
          <w:szCs w:val="24"/>
        </w:rPr>
      </w:pPr>
      <w:r w:rsidRPr="002C0C6C">
        <w:rPr>
          <w:rFonts w:ascii="Times New Roman" w:eastAsia="Times" w:hAnsi="Times New Roman" w:cs="Times New Roman"/>
          <w:b/>
          <w:bCs/>
          <w:sz w:val="24"/>
          <w:szCs w:val="24"/>
        </w:rPr>
        <w:t>7. Authors’ Recommendations for Trilateral Cooperation</w:t>
      </w:r>
    </w:p>
    <w:p w14:paraId="47BD02CB" w14:textId="77777777" w:rsidR="006858F3" w:rsidRPr="002C0C6C" w:rsidRDefault="006858F3" w:rsidP="005B347D">
      <w:pPr>
        <w:spacing w:after="240" w:line="360" w:lineRule="auto"/>
        <w:ind w:firstLine="72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Based on the empirical findings and the unique trilateral composition of the research team, the authors propose a concrete operational model to institutionalize the China-ASEAN vocational education community.</w:t>
      </w:r>
    </w:p>
    <w:p w14:paraId="39210581" w14:textId="10AF38A4" w:rsidR="006858F3" w:rsidRPr="002C0C6C" w:rsidRDefault="006858F3" w:rsidP="006858F3">
      <w:pPr>
        <w:pStyle w:val="3"/>
        <w:spacing w:before="0"/>
        <w:rPr>
          <w:rFonts w:ascii="Times New Roman" w:eastAsia="Times" w:hAnsi="Times New Roman" w:cs="Times New Roman"/>
          <w:sz w:val="24"/>
          <w:szCs w:val="24"/>
        </w:rPr>
      </w:pPr>
      <w:r w:rsidRPr="002C0C6C">
        <w:rPr>
          <w:rFonts w:ascii="Times New Roman" w:eastAsia="Times" w:hAnsi="Times New Roman" w:cs="Times New Roman"/>
          <w:sz w:val="24"/>
          <w:szCs w:val="24"/>
        </w:rPr>
        <w:t>7.1 Recommendation for China (</w:t>
      </w:r>
      <w:r w:rsidR="00BA2436" w:rsidRPr="002C0C6C">
        <w:rPr>
          <w:rFonts w:ascii="Times New Roman" w:eastAsia="Times" w:hAnsi="Times New Roman" w:cs="Times New Roman"/>
          <w:sz w:val="24"/>
          <w:szCs w:val="24"/>
        </w:rPr>
        <w:t>Guangxi College of Sports Education</w:t>
      </w:r>
      <w:r w:rsidRPr="002C0C6C">
        <w:rPr>
          <w:rFonts w:ascii="Times New Roman" w:eastAsia="Times" w:hAnsi="Times New Roman" w:cs="Times New Roman"/>
          <w:sz w:val="24"/>
          <w:szCs w:val="24"/>
        </w:rPr>
        <w:t>)</w:t>
      </w:r>
    </w:p>
    <w:p w14:paraId="42DD04F3" w14:textId="403C54AB" w:rsidR="006858F3" w:rsidRPr="002C0C6C" w:rsidRDefault="006858F3" w:rsidP="005B347D">
      <w:pPr>
        <w:spacing w:after="240" w:line="360" w:lineRule="auto"/>
        <w:ind w:firstLine="72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 xml:space="preserve">As the primary lead research unit, </w:t>
      </w:r>
      <w:r w:rsidR="00BA2436" w:rsidRPr="002C0C6C">
        <w:rPr>
          <w:rFonts w:ascii="Times New Roman" w:eastAsia="Times" w:hAnsi="Times New Roman" w:cs="Times New Roman"/>
          <w:sz w:val="24"/>
          <w:szCs w:val="24"/>
        </w:rPr>
        <w:t>Guangxi College of Sports Education</w:t>
      </w:r>
      <w:r w:rsidRPr="002C0C6C">
        <w:rPr>
          <w:rFonts w:ascii="Times New Roman" w:eastAsia="Times" w:hAnsi="Times New Roman" w:cs="Times New Roman"/>
          <w:sz w:val="24"/>
          <w:szCs w:val="24"/>
        </w:rPr>
        <w:t xml:space="preserve"> should strengthen its strategic role under the China-ASEAN Vocational Education Research Center. Key actions include providing pre-departure Thai/Vietnamese language training and aligning vocational curricula with TNSU standards to facilitate the "2+1+2" pathway (Lan &amp; Wang, 2023; Shi &amp; Lan, 2022).</w:t>
      </w:r>
    </w:p>
    <w:p w14:paraId="3413A503" w14:textId="77777777" w:rsidR="006858F3" w:rsidRPr="002C0C6C" w:rsidRDefault="006858F3" w:rsidP="006858F3">
      <w:pPr>
        <w:pStyle w:val="3"/>
        <w:spacing w:before="0"/>
        <w:rPr>
          <w:rFonts w:ascii="Times New Roman" w:eastAsia="Times" w:hAnsi="Times New Roman" w:cs="Times New Roman"/>
          <w:sz w:val="24"/>
          <w:szCs w:val="24"/>
        </w:rPr>
      </w:pPr>
      <w:bookmarkStart w:id="10" w:name="OLE_LINK11"/>
      <w:r w:rsidRPr="002C0C6C">
        <w:rPr>
          <w:rFonts w:ascii="Times New Roman" w:eastAsia="Times" w:hAnsi="Times New Roman" w:cs="Times New Roman"/>
          <w:sz w:val="24"/>
          <w:szCs w:val="24"/>
        </w:rPr>
        <w:t>7.2 Recommendation for Thailand (Thailand National Sports University)</w:t>
      </w:r>
    </w:p>
    <w:p w14:paraId="70AE298C" w14:textId="693D48AA" w:rsidR="006858F3" w:rsidRPr="002C0C6C" w:rsidRDefault="006858F3" w:rsidP="005B347D">
      <w:pPr>
        <w:spacing w:after="240" w:line="360" w:lineRule="auto"/>
        <w:ind w:firstLine="72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 xml:space="preserve">TNSU should urgently establish a </w:t>
      </w:r>
      <w:r w:rsidRPr="005B347D">
        <w:rPr>
          <w:rFonts w:ascii="Times New Roman" w:eastAsia="Times" w:hAnsi="Times New Roman" w:cs="Times New Roman"/>
          <w:sz w:val="24"/>
          <w:szCs w:val="24"/>
        </w:rPr>
        <w:t>dedicated International Student Affairs Office.</w:t>
      </w:r>
      <w:r w:rsidRPr="002C0C6C">
        <w:rPr>
          <w:rFonts w:ascii="Times New Roman" w:eastAsia="Times" w:hAnsi="Times New Roman" w:cs="Times New Roman"/>
          <w:sz w:val="24"/>
          <w:szCs w:val="24"/>
        </w:rPr>
        <w:t xml:space="preserve"> This office will serve as the operational hub for the "TNSU Thai Test" development and the management of the 2-year top-up bachelor’s programs, specifically designed to capture the market of over 50,000 sports associate graduates from China annually (</w:t>
      </w:r>
      <w:proofErr w:type="spellStart"/>
      <w:r w:rsidRPr="002C0C6C">
        <w:rPr>
          <w:rFonts w:ascii="Times New Roman" w:eastAsia="Times" w:hAnsi="Times New Roman" w:cs="Times New Roman"/>
          <w:sz w:val="24"/>
          <w:szCs w:val="24"/>
        </w:rPr>
        <w:t>Pyne</w:t>
      </w:r>
      <w:proofErr w:type="spellEnd"/>
      <w:r w:rsidRPr="002C0C6C">
        <w:rPr>
          <w:rFonts w:ascii="Times New Roman" w:eastAsia="Times" w:hAnsi="Times New Roman" w:cs="Times New Roman"/>
          <w:sz w:val="24"/>
          <w:szCs w:val="24"/>
        </w:rPr>
        <w:t xml:space="preserve"> et al., 2011; Drinkwater et al., 2008).</w:t>
      </w:r>
      <w:r w:rsidR="005C3CD5">
        <w:rPr>
          <w:rFonts w:ascii="Times New Roman" w:eastAsia="Times" w:hAnsi="Times New Roman" w:cs="Times New Roman"/>
          <w:sz w:val="24"/>
          <w:szCs w:val="24"/>
        </w:rPr>
        <w:t xml:space="preserve"> </w:t>
      </w:r>
      <w:r w:rsidR="005C3CD5" w:rsidRPr="005C3CD5">
        <w:rPr>
          <w:rFonts w:ascii="Times New Roman" w:eastAsia="Times" w:hAnsi="Times New Roman" w:cs="Times New Roman"/>
          <w:sz w:val="24"/>
          <w:szCs w:val="24"/>
        </w:rPr>
        <w:t>It should also provide pathways to master’s and doctoral programs for those who wish to continue their studies.</w:t>
      </w:r>
    </w:p>
    <w:bookmarkEnd w:id="10"/>
    <w:p w14:paraId="647CC84F" w14:textId="77777777" w:rsidR="006858F3" w:rsidRPr="002C0C6C" w:rsidRDefault="006858F3" w:rsidP="006858F3">
      <w:pPr>
        <w:pStyle w:val="3"/>
        <w:spacing w:before="0"/>
        <w:rPr>
          <w:rFonts w:ascii="Times New Roman" w:eastAsia="Times" w:hAnsi="Times New Roman" w:cs="Times New Roman"/>
          <w:sz w:val="24"/>
          <w:szCs w:val="24"/>
        </w:rPr>
      </w:pPr>
      <w:r w:rsidRPr="002C0C6C">
        <w:rPr>
          <w:rFonts w:ascii="Times New Roman" w:eastAsia="Times" w:hAnsi="Times New Roman" w:cs="Times New Roman"/>
          <w:sz w:val="24"/>
          <w:szCs w:val="24"/>
        </w:rPr>
        <w:t>7.3 Recommendation for Vietnam (Hanoi University of Physical Education and Sports)</w:t>
      </w:r>
    </w:p>
    <w:p w14:paraId="221D60A2" w14:textId="7E51589D" w:rsidR="006858F3" w:rsidRPr="002C0C6C" w:rsidRDefault="006858F3" w:rsidP="000E298B">
      <w:pPr>
        <w:spacing w:after="450" w:line="360" w:lineRule="auto"/>
        <w:ind w:firstLine="720"/>
        <w:jc w:val="both"/>
        <w:rPr>
          <w:rFonts w:ascii="Times New Roman" w:eastAsia="Times" w:hAnsi="Times New Roman" w:cs="Times New Roman"/>
          <w:sz w:val="24"/>
          <w:szCs w:val="24"/>
        </w:rPr>
      </w:pPr>
      <w:r w:rsidRPr="002C0C6C">
        <w:rPr>
          <w:rFonts w:ascii="Times New Roman" w:eastAsia="Times" w:hAnsi="Times New Roman" w:cs="Times New Roman"/>
          <w:sz w:val="24"/>
          <w:szCs w:val="24"/>
        </w:rPr>
        <w:t xml:space="preserve">Building on its existing advanced degree infrastructure, Hanoi University should establish a similar coordination mechanism to </w:t>
      </w:r>
      <w:r w:rsidR="005C3CD5" w:rsidRPr="005C3CD5">
        <w:rPr>
          <w:rFonts w:ascii="Times New Roman" w:eastAsia="Times" w:hAnsi="Times New Roman" w:cs="Times New Roman"/>
          <w:sz w:val="24"/>
          <w:szCs w:val="24"/>
        </w:rPr>
        <w:t xml:space="preserve">receive Chinese graduates for bachelor’s, master’s, and doctoral programs under a “2+1+2” framework similar to TNSU, with Vietnamese language preparation during the first two years in China. </w:t>
      </w:r>
      <w:r w:rsidRPr="002C0C6C">
        <w:rPr>
          <w:rFonts w:ascii="Times New Roman" w:eastAsia="Times" w:hAnsi="Times New Roman" w:cs="Times New Roman"/>
          <w:sz w:val="24"/>
          <w:szCs w:val="24"/>
        </w:rPr>
        <w:t>(Gao &amp; Zhong, 2021).</w:t>
      </w:r>
    </w:p>
    <w:p w14:paraId="5C10E9D6" w14:textId="77777777" w:rsidR="006858F3" w:rsidRPr="002C0C6C" w:rsidRDefault="006858F3" w:rsidP="006858F3">
      <w:pPr>
        <w:pStyle w:val="2"/>
        <w:spacing w:before="0"/>
        <w:rPr>
          <w:rFonts w:ascii="Times New Roman" w:eastAsia="Times" w:hAnsi="Times New Roman" w:cs="Times New Roman"/>
          <w:sz w:val="24"/>
          <w:szCs w:val="24"/>
        </w:rPr>
      </w:pPr>
      <w:r w:rsidRPr="002C0C6C">
        <w:rPr>
          <w:rFonts w:ascii="Times New Roman" w:eastAsia="Times" w:hAnsi="Times New Roman" w:cs="Times New Roman"/>
          <w:sz w:val="24"/>
          <w:szCs w:val="24"/>
        </w:rPr>
        <w:t xml:space="preserve">8. </w:t>
      </w:r>
      <w:bookmarkStart w:id="11" w:name="OLE_LINK12"/>
      <w:r w:rsidRPr="002C0C6C">
        <w:rPr>
          <w:rFonts w:ascii="Times New Roman" w:eastAsia="Times" w:hAnsi="Times New Roman" w:cs="Times New Roman"/>
          <w:sz w:val="24"/>
          <w:szCs w:val="24"/>
        </w:rPr>
        <w:t>Conclusion</w:t>
      </w:r>
    </w:p>
    <w:p w14:paraId="0FE79F6C" w14:textId="55B4BF97" w:rsidR="006858F3" w:rsidRPr="002C0C6C" w:rsidRDefault="005C3CD5" w:rsidP="000E298B">
      <w:pPr>
        <w:spacing w:after="450" w:line="360" w:lineRule="auto"/>
        <w:ind w:firstLine="720"/>
        <w:jc w:val="both"/>
        <w:rPr>
          <w:rFonts w:ascii="Times New Roman" w:eastAsia="Times" w:hAnsi="Times New Roman" w:cs="Times New Roman"/>
          <w:sz w:val="24"/>
          <w:szCs w:val="24"/>
        </w:rPr>
      </w:pPr>
      <w:r w:rsidRPr="005C3CD5">
        <w:rPr>
          <w:rFonts w:ascii="Times New Roman" w:eastAsia="Times" w:hAnsi="Times New Roman" w:cs="Times New Roman"/>
          <w:sz w:val="24"/>
          <w:szCs w:val="24"/>
        </w:rPr>
        <w:t xml:space="preserve">This research confirms that the Western Development policy provides a robust foundation for </w:t>
      </w:r>
      <w:r w:rsidRPr="005C3CD5">
        <w:rPr>
          <w:rFonts w:ascii="Times New Roman" w:eastAsia="Times" w:hAnsi="Times New Roman" w:cs="Times New Roman"/>
          <w:sz w:val="24"/>
          <w:szCs w:val="24"/>
        </w:rPr>
        <w:lastRenderedPageBreak/>
        <w:t xml:space="preserve">a China-ASEAN vocational education community. However, institutional gaps—specifically the lack of trilateral coordination units and limited bachelor’s progression—must be addressed. The proposed "2+1+2" model offers a scalable solution with </w:t>
      </w:r>
      <w:r w:rsidR="00FA4F70" w:rsidRPr="005C3CD5">
        <w:rPr>
          <w:rFonts w:ascii="Times New Roman" w:eastAsia="Times" w:hAnsi="Times New Roman" w:cs="Times New Roman"/>
          <w:sz w:val="24"/>
          <w:szCs w:val="24"/>
        </w:rPr>
        <w:t>zero-time</w:t>
      </w:r>
      <w:r w:rsidRPr="005C3CD5">
        <w:rPr>
          <w:rFonts w:ascii="Times New Roman" w:eastAsia="Times" w:hAnsi="Times New Roman" w:cs="Times New Roman"/>
          <w:sz w:val="24"/>
          <w:szCs w:val="24"/>
        </w:rPr>
        <w:t xml:space="preserve"> loss for </w:t>
      </w:r>
      <w:r w:rsidR="00FA4F70" w:rsidRPr="005C3CD5">
        <w:rPr>
          <w:rFonts w:ascii="Times New Roman" w:eastAsia="Times" w:hAnsi="Times New Roman" w:cs="Times New Roman"/>
          <w:sz w:val="24"/>
          <w:szCs w:val="24"/>
        </w:rPr>
        <w:t>students,</w:t>
      </w:r>
      <w:r w:rsidRPr="005C3CD5">
        <w:rPr>
          <w:rFonts w:ascii="Times New Roman" w:eastAsia="Times" w:hAnsi="Times New Roman" w:cs="Times New Roman"/>
          <w:sz w:val="24"/>
          <w:szCs w:val="24"/>
        </w:rPr>
        <w:t xml:space="preserve"> which can be extended to master’s and doctoral levels in both Thailand and Vietnam, serving as a pilot for regional integration in sports education.</w:t>
      </w:r>
    </w:p>
    <w:p w14:paraId="43DB9C32" w14:textId="77777777" w:rsidR="006858F3" w:rsidRPr="002C0C6C" w:rsidRDefault="006858F3" w:rsidP="006858F3">
      <w:pPr>
        <w:pStyle w:val="2"/>
        <w:spacing w:before="0"/>
        <w:rPr>
          <w:rFonts w:ascii="Times New Roman" w:eastAsia="Times" w:hAnsi="Times New Roman" w:cs="Times New Roman"/>
          <w:sz w:val="24"/>
          <w:szCs w:val="24"/>
        </w:rPr>
      </w:pPr>
      <w:bookmarkStart w:id="12" w:name="OLE_LINK5"/>
      <w:bookmarkEnd w:id="11"/>
      <w:r w:rsidRPr="002C0C6C">
        <w:rPr>
          <w:rFonts w:ascii="Times New Roman" w:eastAsia="Times" w:hAnsi="Times New Roman" w:cs="Times New Roman"/>
          <w:sz w:val="24"/>
          <w:szCs w:val="24"/>
        </w:rPr>
        <w:t>9</w:t>
      </w:r>
      <w:bookmarkStart w:id="13" w:name="OLE_LINK13"/>
      <w:r w:rsidRPr="002C0C6C">
        <w:rPr>
          <w:rFonts w:ascii="Times New Roman" w:eastAsia="Times" w:hAnsi="Times New Roman" w:cs="Times New Roman"/>
          <w:sz w:val="24"/>
          <w:szCs w:val="24"/>
        </w:rPr>
        <w:t>. Suggestions for Future Research</w:t>
      </w:r>
    </w:p>
    <w:bookmarkEnd w:id="1"/>
    <w:bookmarkEnd w:id="12"/>
    <w:bookmarkEnd w:id="13"/>
    <w:p w14:paraId="2282061D" w14:textId="77777777" w:rsidR="005C3CD5" w:rsidRPr="005C3CD5" w:rsidRDefault="005C3CD5" w:rsidP="005C3CD5">
      <w:pPr>
        <w:numPr>
          <w:ilvl w:val="0"/>
          <w:numId w:val="5"/>
        </w:numPr>
        <w:spacing w:line="360" w:lineRule="auto"/>
        <w:jc w:val="both"/>
        <w:rPr>
          <w:rFonts w:ascii="Times New Roman" w:eastAsia="Times" w:hAnsi="Times New Roman" w:cs="Times New Roman"/>
          <w:sz w:val="24"/>
          <w:szCs w:val="24"/>
        </w:rPr>
      </w:pPr>
      <w:r w:rsidRPr="005C3CD5">
        <w:rPr>
          <w:rFonts w:ascii="Times New Roman" w:eastAsia="Times" w:hAnsi="Times New Roman" w:cs="Times New Roman"/>
          <w:sz w:val="24"/>
          <w:szCs w:val="24"/>
        </w:rPr>
        <w:t>Guangxi College of Sports Education, as the lead research institution, should further strengthen its coordinating role under the China-ASEAN Vocational Education Research Center and continue developing Thai and Vietnamese language training capacity for its associate degree students.</w:t>
      </w:r>
    </w:p>
    <w:p w14:paraId="71315E0C" w14:textId="4A451C8C" w:rsidR="005C3CD5" w:rsidRPr="005C3CD5" w:rsidRDefault="00FA4F70" w:rsidP="005C3CD5">
      <w:pPr>
        <w:numPr>
          <w:ilvl w:val="0"/>
          <w:numId w:val="5"/>
        </w:numPr>
        <w:spacing w:line="360" w:lineRule="auto"/>
        <w:jc w:val="both"/>
        <w:rPr>
          <w:rFonts w:ascii="Times New Roman" w:eastAsia="Times" w:hAnsi="Times New Roman" w:cs="Times New Roman"/>
          <w:sz w:val="24"/>
          <w:szCs w:val="24"/>
        </w:rPr>
      </w:pPr>
      <w:r w:rsidRPr="00FA4F70">
        <w:rPr>
          <w:rFonts w:ascii="Times New Roman" w:eastAsia="Times" w:hAnsi="Times New Roman" w:cs="Times New Roman"/>
          <w:sz w:val="24"/>
          <w:szCs w:val="24"/>
        </w:rPr>
        <w:t>Thailand National Sports University</w:t>
      </w:r>
      <w:r w:rsidR="005C3CD5" w:rsidRPr="005C3CD5">
        <w:rPr>
          <w:rFonts w:ascii="Times New Roman" w:eastAsia="Times" w:hAnsi="Times New Roman" w:cs="Times New Roman"/>
          <w:sz w:val="24"/>
          <w:szCs w:val="24"/>
        </w:rPr>
        <w:t xml:space="preserve"> should finalize the TNSU Thai Test and the 2</w:t>
      </w:r>
      <w:r w:rsidR="005C3CD5" w:rsidRPr="005C3CD5">
        <w:rPr>
          <w:rFonts w:ascii="Times New Roman" w:eastAsia="Times" w:hAnsi="Times New Roman" w:cs="Times New Roman"/>
          <w:sz w:val="24"/>
          <w:szCs w:val="24"/>
        </w:rPr>
        <w:noBreakHyphen/>
        <w:t>year top</w:t>
      </w:r>
      <w:r w:rsidR="005C3CD5" w:rsidRPr="005C3CD5">
        <w:rPr>
          <w:rFonts w:ascii="Times New Roman" w:eastAsia="Times" w:hAnsi="Times New Roman" w:cs="Times New Roman"/>
          <w:sz w:val="24"/>
          <w:szCs w:val="24"/>
        </w:rPr>
        <w:noBreakHyphen/>
        <w:t>up bachelor’s program curricula immediately, and also establish clear pathways to master’s and doctoral programs for students who wish to continue their studies.</w:t>
      </w:r>
    </w:p>
    <w:p w14:paraId="0DF1F88F" w14:textId="77777777" w:rsidR="005C3CD5" w:rsidRPr="005C3CD5" w:rsidRDefault="005C3CD5" w:rsidP="005C3CD5">
      <w:pPr>
        <w:numPr>
          <w:ilvl w:val="0"/>
          <w:numId w:val="5"/>
        </w:numPr>
        <w:spacing w:line="360" w:lineRule="auto"/>
        <w:jc w:val="both"/>
        <w:rPr>
          <w:rFonts w:ascii="Times New Roman" w:eastAsia="Times" w:hAnsi="Times New Roman" w:cs="Times New Roman"/>
          <w:sz w:val="24"/>
          <w:szCs w:val="24"/>
        </w:rPr>
      </w:pPr>
      <w:r w:rsidRPr="005C3CD5">
        <w:rPr>
          <w:rFonts w:ascii="Times New Roman" w:eastAsia="Times" w:hAnsi="Times New Roman" w:cs="Times New Roman"/>
          <w:sz w:val="24"/>
          <w:szCs w:val="24"/>
        </w:rPr>
        <w:t>Hanoi University should develop similar language proficiency standards and top</w:t>
      </w:r>
      <w:r w:rsidRPr="005C3CD5">
        <w:rPr>
          <w:rFonts w:ascii="Times New Roman" w:eastAsia="Times" w:hAnsi="Times New Roman" w:cs="Times New Roman"/>
          <w:sz w:val="24"/>
          <w:szCs w:val="24"/>
        </w:rPr>
        <w:noBreakHyphen/>
        <w:t>up structures for Vietnamese</w:t>
      </w:r>
      <w:r w:rsidRPr="005C3CD5">
        <w:rPr>
          <w:rFonts w:ascii="Times New Roman" w:eastAsia="Times" w:hAnsi="Times New Roman" w:cs="Times New Roman"/>
          <w:sz w:val="24"/>
          <w:szCs w:val="24"/>
        </w:rPr>
        <w:noBreakHyphen/>
        <w:t>track students, ensuring that bachelor’s, master’s, and doctoral pathways are clearly defined.</w:t>
      </w:r>
    </w:p>
    <w:p w14:paraId="16D945B7" w14:textId="77777777" w:rsidR="005C3CD5" w:rsidRPr="005C3CD5" w:rsidRDefault="005C3CD5" w:rsidP="005C3CD5">
      <w:pPr>
        <w:numPr>
          <w:ilvl w:val="0"/>
          <w:numId w:val="5"/>
        </w:numPr>
        <w:spacing w:line="360" w:lineRule="auto"/>
        <w:jc w:val="both"/>
        <w:rPr>
          <w:rFonts w:ascii="Times New Roman" w:eastAsia="Times" w:hAnsi="Times New Roman" w:cs="Times New Roman"/>
          <w:sz w:val="24"/>
          <w:szCs w:val="24"/>
        </w:rPr>
      </w:pPr>
      <w:r w:rsidRPr="005C3CD5">
        <w:rPr>
          <w:rFonts w:ascii="Times New Roman" w:eastAsia="Times" w:hAnsi="Times New Roman" w:cs="Times New Roman"/>
          <w:sz w:val="24"/>
          <w:szCs w:val="24"/>
        </w:rPr>
        <w:t>A formal trilateral MOU should be signed to operationalize the coordination hubs (including the International Student Affairs Office at TNSU and equivalent units in China and Vietnam).</w:t>
      </w:r>
    </w:p>
    <w:p w14:paraId="28544710" w14:textId="77777777" w:rsidR="005C3CD5" w:rsidRPr="005C3CD5" w:rsidRDefault="005C3CD5" w:rsidP="005C3CD5">
      <w:pPr>
        <w:numPr>
          <w:ilvl w:val="0"/>
          <w:numId w:val="5"/>
        </w:numPr>
        <w:spacing w:line="360" w:lineRule="auto"/>
        <w:jc w:val="both"/>
        <w:rPr>
          <w:rFonts w:ascii="Times New Roman" w:eastAsia="Times" w:hAnsi="Times New Roman" w:cs="Times New Roman"/>
          <w:sz w:val="24"/>
          <w:szCs w:val="24"/>
        </w:rPr>
      </w:pPr>
      <w:r w:rsidRPr="005C3CD5">
        <w:rPr>
          <w:rFonts w:ascii="Times New Roman" w:eastAsia="Times" w:hAnsi="Times New Roman" w:cs="Times New Roman"/>
          <w:sz w:val="24"/>
          <w:szCs w:val="24"/>
        </w:rPr>
        <w:t>Future research should apply the proposed evaluation criteria (Input, Process, Output, Impact) to assess the effectiveness of the pilot model (</w:t>
      </w:r>
      <w:proofErr w:type="spellStart"/>
      <w:r w:rsidRPr="005C3CD5">
        <w:rPr>
          <w:rFonts w:ascii="Times New Roman" w:eastAsia="Times" w:hAnsi="Times New Roman" w:cs="Times New Roman"/>
          <w:sz w:val="24"/>
          <w:szCs w:val="24"/>
        </w:rPr>
        <w:t>Teramoto</w:t>
      </w:r>
      <w:proofErr w:type="spellEnd"/>
      <w:r w:rsidRPr="005C3CD5">
        <w:rPr>
          <w:rFonts w:ascii="Times New Roman" w:eastAsia="Times" w:hAnsi="Times New Roman" w:cs="Times New Roman"/>
          <w:sz w:val="24"/>
          <w:szCs w:val="24"/>
        </w:rPr>
        <w:t xml:space="preserve"> et al., 2018; </w:t>
      </w:r>
      <w:proofErr w:type="spellStart"/>
      <w:r w:rsidRPr="005C3CD5">
        <w:rPr>
          <w:rFonts w:ascii="Times New Roman" w:eastAsia="Times" w:hAnsi="Times New Roman" w:cs="Times New Roman"/>
          <w:sz w:val="24"/>
          <w:szCs w:val="24"/>
        </w:rPr>
        <w:t>Matulaitis</w:t>
      </w:r>
      <w:proofErr w:type="spellEnd"/>
      <w:r w:rsidRPr="005C3CD5">
        <w:rPr>
          <w:rFonts w:ascii="Times New Roman" w:eastAsia="Times" w:hAnsi="Times New Roman" w:cs="Times New Roman"/>
          <w:sz w:val="24"/>
          <w:szCs w:val="24"/>
        </w:rPr>
        <w:t xml:space="preserve"> et al., 2019).</w:t>
      </w:r>
    </w:p>
    <w:p w14:paraId="7D5E7D95" w14:textId="77777777" w:rsidR="003E7EB3" w:rsidRPr="005C3CD5" w:rsidRDefault="003E7EB3" w:rsidP="003E7EB3">
      <w:pPr>
        <w:spacing w:line="360" w:lineRule="auto"/>
        <w:jc w:val="both"/>
        <w:rPr>
          <w:rFonts w:ascii="Times New Roman" w:hAnsi="Times New Roman" w:cs="Times New Roman"/>
        </w:rPr>
      </w:pPr>
    </w:p>
    <w:bookmarkEnd w:id="2"/>
    <w:p w14:paraId="3ACF4A0A" w14:textId="56FA93A4" w:rsidR="003E7EB3" w:rsidRPr="003E7EB3" w:rsidRDefault="003E7EB3" w:rsidP="003E7EB3">
      <w:pPr>
        <w:pStyle w:val="2"/>
        <w:spacing w:before="0"/>
        <w:rPr>
          <w:rFonts w:ascii="Times New Roman" w:eastAsia="Times" w:hAnsi="Times New Roman" w:cs="Times New Roman"/>
          <w:sz w:val="24"/>
          <w:szCs w:val="24"/>
        </w:rPr>
      </w:pPr>
      <w:r w:rsidRPr="003E7EB3">
        <w:rPr>
          <w:rFonts w:ascii="Times New Roman" w:eastAsia="Times" w:hAnsi="Times New Roman" w:cs="Times New Roman"/>
          <w:sz w:val="24"/>
          <w:szCs w:val="24"/>
        </w:rPr>
        <w:t>10. References</w:t>
      </w:r>
    </w:p>
    <w:p w14:paraId="10397C9A"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proofErr w:type="spellStart"/>
      <w:r w:rsidRPr="003E7EB3">
        <w:rPr>
          <w:rFonts w:ascii="Times New Roman" w:hAnsi="Times New Roman" w:cs="Times New Roman"/>
          <w:sz w:val="24"/>
          <w:szCs w:val="24"/>
        </w:rPr>
        <w:t>Haff</w:t>
      </w:r>
      <w:proofErr w:type="spellEnd"/>
      <w:r w:rsidRPr="003E7EB3">
        <w:rPr>
          <w:rFonts w:ascii="Times New Roman" w:hAnsi="Times New Roman" w:cs="Times New Roman"/>
          <w:sz w:val="24"/>
          <w:szCs w:val="24"/>
        </w:rPr>
        <w:t>, G. G., &amp; Triplett, N. T. (Eds.). (2021). </w:t>
      </w:r>
      <w:r w:rsidRPr="003E7EB3">
        <w:rPr>
          <w:rFonts w:ascii="Times New Roman" w:hAnsi="Times New Roman" w:cs="Times New Roman"/>
          <w:i/>
          <w:iCs/>
          <w:sz w:val="24"/>
          <w:szCs w:val="24"/>
        </w:rPr>
        <w:t>Essentials of strength training and conditioning</w:t>
      </w:r>
      <w:r w:rsidRPr="003E7EB3">
        <w:rPr>
          <w:rFonts w:ascii="Times New Roman" w:hAnsi="Times New Roman" w:cs="Times New Roman"/>
          <w:sz w:val="24"/>
          <w:szCs w:val="24"/>
        </w:rPr>
        <w:t> (4th ed.). Human Kinetics.</w:t>
      </w:r>
    </w:p>
    <w:p w14:paraId="086DE1BC"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r w:rsidRPr="003E7EB3">
        <w:rPr>
          <w:rFonts w:ascii="Times New Roman" w:hAnsi="Times New Roman" w:cs="Times New Roman"/>
          <w:sz w:val="24"/>
          <w:szCs w:val="24"/>
        </w:rPr>
        <w:t>Wang, Z. C., &amp; Li, X. J. (2021). Joint construction of the “Belt and Road”: The essence, pattern, and path of vocational education development in Western China. </w:t>
      </w:r>
      <w:r w:rsidRPr="003E7EB3">
        <w:rPr>
          <w:rFonts w:ascii="Times New Roman" w:hAnsi="Times New Roman" w:cs="Times New Roman"/>
          <w:i/>
          <w:iCs/>
          <w:sz w:val="24"/>
          <w:szCs w:val="24"/>
        </w:rPr>
        <w:t>Vocational and Technical Education</w:t>
      </w:r>
      <w:r w:rsidRPr="003E7EB3">
        <w:rPr>
          <w:rFonts w:ascii="Times New Roman" w:hAnsi="Times New Roman" w:cs="Times New Roman"/>
          <w:sz w:val="24"/>
          <w:szCs w:val="24"/>
        </w:rPr>
        <w:t>, 22, 5-18.</w:t>
      </w:r>
    </w:p>
    <w:p w14:paraId="7A79AF34"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r w:rsidRPr="003E7EB3">
        <w:rPr>
          <w:rFonts w:ascii="Times New Roman" w:hAnsi="Times New Roman" w:cs="Times New Roman"/>
          <w:sz w:val="24"/>
          <w:szCs w:val="24"/>
        </w:rPr>
        <w:t>Lan, Y., &amp; Wang, Z. C. (2023). Connotation, hotspots, dilemmas, and pathways for the internationalization of “Double High Plan” higher vocational colleges in Western China. </w:t>
      </w:r>
      <w:r w:rsidRPr="003E7EB3">
        <w:rPr>
          <w:rFonts w:ascii="Times New Roman" w:hAnsi="Times New Roman" w:cs="Times New Roman"/>
          <w:i/>
          <w:iCs/>
          <w:sz w:val="24"/>
          <w:szCs w:val="24"/>
        </w:rPr>
        <w:t>Vocational and Technical Education</w:t>
      </w:r>
      <w:r w:rsidRPr="003E7EB3">
        <w:rPr>
          <w:rFonts w:ascii="Times New Roman" w:hAnsi="Times New Roman" w:cs="Times New Roman"/>
          <w:sz w:val="24"/>
          <w:szCs w:val="24"/>
        </w:rPr>
        <w:t>, 7, 21-28.</w:t>
      </w:r>
    </w:p>
    <w:p w14:paraId="294349CA"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r w:rsidRPr="003E7EB3">
        <w:rPr>
          <w:rFonts w:ascii="Times New Roman" w:hAnsi="Times New Roman" w:cs="Times New Roman"/>
          <w:sz w:val="24"/>
          <w:szCs w:val="24"/>
        </w:rPr>
        <w:lastRenderedPageBreak/>
        <w:t>Shi, D., &amp; Lan, Y. (2022). Exploration and reflection on enhancing the international influence of sports higher vocational colleges under the new pattern. </w:t>
      </w:r>
      <w:r w:rsidRPr="003E7EB3">
        <w:rPr>
          <w:rFonts w:ascii="Times New Roman" w:hAnsi="Times New Roman" w:cs="Times New Roman"/>
          <w:i/>
          <w:iCs/>
          <w:sz w:val="24"/>
          <w:szCs w:val="24"/>
        </w:rPr>
        <w:t>Journal of Guangxi Normal University of Science and Technology</w:t>
      </w:r>
      <w:r w:rsidRPr="003E7EB3">
        <w:rPr>
          <w:rFonts w:ascii="Times New Roman" w:hAnsi="Times New Roman" w:cs="Times New Roman"/>
          <w:sz w:val="24"/>
          <w:szCs w:val="24"/>
        </w:rPr>
        <w:t>, 37(3), 101-108.</w:t>
      </w:r>
    </w:p>
    <w:p w14:paraId="15729371"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proofErr w:type="spellStart"/>
      <w:r w:rsidRPr="003E7EB3">
        <w:rPr>
          <w:rFonts w:ascii="Times New Roman" w:hAnsi="Times New Roman" w:cs="Times New Roman"/>
          <w:sz w:val="24"/>
          <w:szCs w:val="24"/>
        </w:rPr>
        <w:t>Nie</w:t>
      </w:r>
      <w:proofErr w:type="spellEnd"/>
      <w:r w:rsidRPr="003E7EB3">
        <w:rPr>
          <w:rFonts w:ascii="Times New Roman" w:hAnsi="Times New Roman" w:cs="Times New Roman"/>
          <w:sz w:val="24"/>
          <w:szCs w:val="24"/>
        </w:rPr>
        <w:t>, J. D. (2021). Building the capacity modules of internationalized teaching staff in higher vocational colleges under the “Belt and Road” initiative. </w:t>
      </w:r>
      <w:r w:rsidRPr="003E7EB3">
        <w:rPr>
          <w:rFonts w:ascii="Times New Roman" w:hAnsi="Times New Roman" w:cs="Times New Roman"/>
          <w:i/>
          <w:iCs/>
          <w:sz w:val="24"/>
          <w:szCs w:val="24"/>
        </w:rPr>
        <w:t>Journal of Wuhan Vocational and Technical College</w:t>
      </w:r>
      <w:r w:rsidRPr="003E7EB3">
        <w:rPr>
          <w:rFonts w:ascii="Times New Roman" w:hAnsi="Times New Roman" w:cs="Times New Roman"/>
          <w:sz w:val="24"/>
          <w:szCs w:val="24"/>
        </w:rPr>
        <w:t>, 20(1), 70-75.</w:t>
      </w:r>
    </w:p>
    <w:p w14:paraId="678F0D59"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r w:rsidRPr="003E7EB3">
        <w:rPr>
          <w:rFonts w:ascii="Times New Roman" w:hAnsi="Times New Roman" w:cs="Times New Roman"/>
          <w:sz w:val="24"/>
          <w:szCs w:val="24"/>
        </w:rPr>
        <w:t xml:space="preserve">Drinkwater, E. J., </w:t>
      </w:r>
      <w:proofErr w:type="spellStart"/>
      <w:r w:rsidRPr="003E7EB3">
        <w:rPr>
          <w:rFonts w:ascii="Times New Roman" w:hAnsi="Times New Roman" w:cs="Times New Roman"/>
          <w:sz w:val="24"/>
          <w:szCs w:val="24"/>
        </w:rPr>
        <w:t>Pyne</w:t>
      </w:r>
      <w:proofErr w:type="spellEnd"/>
      <w:r w:rsidRPr="003E7EB3">
        <w:rPr>
          <w:rFonts w:ascii="Times New Roman" w:hAnsi="Times New Roman" w:cs="Times New Roman"/>
          <w:sz w:val="24"/>
          <w:szCs w:val="24"/>
        </w:rPr>
        <w:t>, D. B., &amp; Mckenna, M. J. (2008). Design and interpretation of anthropometric and fitness testing of basketball players. </w:t>
      </w:r>
      <w:r w:rsidRPr="003E7EB3">
        <w:rPr>
          <w:rFonts w:ascii="Times New Roman" w:hAnsi="Times New Roman" w:cs="Times New Roman"/>
          <w:i/>
          <w:iCs/>
          <w:sz w:val="24"/>
          <w:szCs w:val="24"/>
        </w:rPr>
        <w:t>Sports Medicine</w:t>
      </w:r>
      <w:r w:rsidRPr="003E7EB3">
        <w:rPr>
          <w:rFonts w:ascii="Times New Roman" w:hAnsi="Times New Roman" w:cs="Times New Roman"/>
          <w:sz w:val="24"/>
          <w:szCs w:val="24"/>
        </w:rPr>
        <w:t>, 38(7), 565-578.</w:t>
      </w:r>
    </w:p>
    <w:p w14:paraId="75FFEB1E"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proofErr w:type="spellStart"/>
      <w:r w:rsidRPr="003E7EB3">
        <w:rPr>
          <w:rFonts w:ascii="Times New Roman" w:hAnsi="Times New Roman" w:cs="Times New Roman"/>
          <w:sz w:val="24"/>
          <w:szCs w:val="24"/>
        </w:rPr>
        <w:t>Glassbrook</w:t>
      </w:r>
      <w:proofErr w:type="spellEnd"/>
      <w:r w:rsidRPr="003E7EB3">
        <w:rPr>
          <w:rFonts w:ascii="Times New Roman" w:hAnsi="Times New Roman" w:cs="Times New Roman"/>
          <w:sz w:val="24"/>
          <w:szCs w:val="24"/>
        </w:rPr>
        <w:t>, D. J., Fuller, J. T., Wade, J. A., et al. (2022). Not all physical performance tests are related to early season match running performance in professional rugby league. </w:t>
      </w:r>
      <w:r w:rsidRPr="003E7EB3">
        <w:rPr>
          <w:rFonts w:ascii="Times New Roman" w:hAnsi="Times New Roman" w:cs="Times New Roman"/>
          <w:i/>
          <w:iCs/>
          <w:sz w:val="24"/>
          <w:szCs w:val="24"/>
        </w:rPr>
        <w:t>The Journal of Strength &amp; Conditioning Research</w:t>
      </w:r>
      <w:r w:rsidRPr="003E7EB3">
        <w:rPr>
          <w:rFonts w:ascii="Times New Roman" w:hAnsi="Times New Roman" w:cs="Times New Roman"/>
          <w:sz w:val="24"/>
          <w:szCs w:val="24"/>
        </w:rPr>
        <w:t>, 36(7), 1944-1950.</w:t>
      </w:r>
    </w:p>
    <w:p w14:paraId="75EBCB4A"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proofErr w:type="spellStart"/>
      <w:r w:rsidRPr="003E7EB3">
        <w:rPr>
          <w:rFonts w:ascii="Times New Roman" w:hAnsi="Times New Roman" w:cs="Times New Roman"/>
          <w:sz w:val="24"/>
          <w:szCs w:val="24"/>
        </w:rPr>
        <w:t>Bezmylov</w:t>
      </w:r>
      <w:proofErr w:type="spellEnd"/>
      <w:r w:rsidRPr="003E7EB3">
        <w:rPr>
          <w:rFonts w:ascii="Times New Roman" w:hAnsi="Times New Roman" w:cs="Times New Roman"/>
          <w:sz w:val="24"/>
          <w:szCs w:val="24"/>
        </w:rPr>
        <w:t xml:space="preserve">, M., </w:t>
      </w:r>
      <w:proofErr w:type="spellStart"/>
      <w:r w:rsidRPr="003E7EB3">
        <w:rPr>
          <w:rFonts w:ascii="Times New Roman" w:hAnsi="Times New Roman" w:cs="Times New Roman"/>
          <w:sz w:val="24"/>
          <w:szCs w:val="24"/>
        </w:rPr>
        <w:t>Shynkaruk</w:t>
      </w:r>
      <w:proofErr w:type="spellEnd"/>
      <w:r w:rsidRPr="003E7EB3">
        <w:rPr>
          <w:rFonts w:ascii="Times New Roman" w:hAnsi="Times New Roman" w:cs="Times New Roman"/>
          <w:sz w:val="24"/>
          <w:szCs w:val="24"/>
        </w:rPr>
        <w:t>, O., &amp; Murphy, T. (2020). Sports reserve training and selection of basketball players in the USA. </w:t>
      </w:r>
      <w:r w:rsidRPr="003E7EB3">
        <w:rPr>
          <w:rFonts w:ascii="Times New Roman" w:hAnsi="Times New Roman" w:cs="Times New Roman"/>
          <w:i/>
          <w:iCs/>
          <w:sz w:val="24"/>
          <w:szCs w:val="24"/>
        </w:rPr>
        <w:t>Theory and Methods of Physical Education and Sports</w:t>
      </w:r>
      <w:r w:rsidRPr="003E7EB3">
        <w:rPr>
          <w:rFonts w:ascii="Times New Roman" w:hAnsi="Times New Roman" w:cs="Times New Roman"/>
          <w:sz w:val="24"/>
          <w:szCs w:val="24"/>
        </w:rPr>
        <w:t>, 3, 10-20.</w:t>
      </w:r>
    </w:p>
    <w:p w14:paraId="71E2DD93"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r w:rsidRPr="003E7EB3">
        <w:rPr>
          <w:rFonts w:ascii="Times New Roman" w:hAnsi="Times New Roman" w:cs="Times New Roman"/>
          <w:sz w:val="24"/>
          <w:szCs w:val="24"/>
        </w:rPr>
        <w:t>Li, L., &amp; Zhang, W. (2022). Evaluation of competitive performance ability of basketball players based on hybrid model. </w:t>
      </w:r>
      <w:r w:rsidRPr="003E7EB3">
        <w:rPr>
          <w:rFonts w:ascii="Times New Roman" w:hAnsi="Times New Roman" w:cs="Times New Roman"/>
          <w:i/>
          <w:iCs/>
          <w:sz w:val="24"/>
          <w:szCs w:val="24"/>
        </w:rPr>
        <w:t>Mathematical Problems in Engineering</w:t>
      </w:r>
      <w:r w:rsidRPr="003E7EB3">
        <w:rPr>
          <w:rFonts w:ascii="Times New Roman" w:hAnsi="Times New Roman" w:cs="Times New Roman"/>
          <w:sz w:val="24"/>
          <w:szCs w:val="24"/>
        </w:rPr>
        <w:t>.</w:t>
      </w:r>
    </w:p>
    <w:p w14:paraId="275B4ECF"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r w:rsidRPr="003E7EB3">
        <w:rPr>
          <w:rFonts w:ascii="Times New Roman" w:hAnsi="Times New Roman" w:cs="Times New Roman"/>
          <w:sz w:val="24"/>
          <w:szCs w:val="24"/>
        </w:rPr>
        <w:t>Lian, B. Z., &amp; Gao, G. X. (2019). Development of selection criteria for young basketball players in China. </w:t>
      </w:r>
      <w:r w:rsidRPr="003E7EB3">
        <w:rPr>
          <w:rFonts w:ascii="Times New Roman" w:hAnsi="Times New Roman" w:cs="Times New Roman"/>
          <w:i/>
          <w:iCs/>
          <w:sz w:val="24"/>
          <w:szCs w:val="24"/>
        </w:rPr>
        <w:t>Journal of Beijing Sport University</w:t>
      </w:r>
      <w:r w:rsidRPr="003E7EB3">
        <w:rPr>
          <w:rFonts w:ascii="Times New Roman" w:hAnsi="Times New Roman" w:cs="Times New Roman"/>
          <w:sz w:val="24"/>
          <w:szCs w:val="24"/>
        </w:rPr>
        <w:t>, 42(7).</w:t>
      </w:r>
    </w:p>
    <w:p w14:paraId="74EB1F28"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proofErr w:type="spellStart"/>
      <w:r w:rsidRPr="003E7EB3">
        <w:rPr>
          <w:rFonts w:ascii="Times New Roman" w:hAnsi="Times New Roman" w:cs="Times New Roman"/>
          <w:sz w:val="24"/>
          <w:szCs w:val="24"/>
        </w:rPr>
        <w:t>Xiong</w:t>
      </w:r>
      <w:proofErr w:type="spellEnd"/>
      <w:r w:rsidRPr="003E7EB3">
        <w:rPr>
          <w:rFonts w:ascii="Times New Roman" w:hAnsi="Times New Roman" w:cs="Times New Roman"/>
          <w:sz w:val="24"/>
          <w:szCs w:val="24"/>
        </w:rPr>
        <w:t>, J. H., Gao, Y., Wang, Z., et al. (2019). Strategic development and innovative pathways for the internationalization of vocational education in the new era (Part 2). </w:t>
      </w:r>
      <w:r w:rsidRPr="003E7EB3">
        <w:rPr>
          <w:rFonts w:ascii="Times New Roman" w:hAnsi="Times New Roman" w:cs="Times New Roman"/>
          <w:i/>
          <w:iCs/>
          <w:sz w:val="24"/>
          <w:szCs w:val="24"/>
        </w:rPr>
        <w:t>China Vocational and Technical Education</w:t>
      </w:r>
      <w:r w:rsidRPr="003E7EB3">
        <w:rPr>
          <w:rFonts w:ascii="Times New Roman" w:hAnsi="Times New Roman" w:cs="Times New Roman"/>
          <w:sz w:val="24"/>
          <w:szCs w:val="24"/>
        </w:rPr>
        <w:t>, 36, 5-16.</w:t>
      </w:r>
    </w:p>
    <w:p w14:paraId="7B173811"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proofErr w:type="spellStart"/>
      <w:r w:rsidRPr="003E7EB3">
        <w:rPr>
          <w:rFonts w:ascii="Times New Roman" w:hAnsi="Times New Roman" w:cs="Times New Roman"/>
          <w:sz w:val="24"/>
          <w:szCs w:val="24"/>
        </w:rPr>
        <w:t>Matulaitis</w:t>
      </w:r>
      <w:proofErr w:type="spellEnd"/>
      <w:r w:rsidRPr="003E7EB3">
        <w:rPr>
          <w:rFonts w:ascii="Times New Roman" w:hAnsi="Times New Roman" w:cs="Times New Roman"/>
          <w:sz w:val="24"/>
          <w:szCs w:val="24"/>
        </w:rPr>
        <w:t xml:space="preserve">, K., </w:t>
      </w:r>
      <w:proofErr w:type="spellStart"/>
      <w:r w:rsidRPr="003E7EB3">
        <w:rPr>
          <w:rFonts w:ascii="Times New Roman" w:hAnsi="Times New Roman" w:cs="Times New Roman"/>
          <w:sz w:val="24"/>
          <w:szCs w:val="24"/>
        </w:rPr>
        <w:t>Skarbalius</w:t>
      </w:r>
      <w:proofErr w:type="spellEnd"/>
      <w:r w:rsidRPr="003E7EB3">
        <w:rPr>
          <w:rFonts w:ascii="Times New Roman" w:hAnsi="Times New Roman" w:cs="Times New Roman"/>
          <w:sz w:val="24"/>
          <w:szCs w:val="24"/>
        </w:rPr>
        <w:t xml:space="preserve">, A., Abrantes, C., Goncalves, B., &amp; Sampaio, J. (2019). Fitness, technical, and </w:t>
      </w:r>
      <w:proofErr w:type="spellStart"/>
      <w:r w:rsidRPr="003E7EB3">
        <w:rPr>
          <w:rFonts w:ascii="Times New Roman" w:hAnsi="Times New Roman" w:cs="Times New Roman"/>
          <w:sz w:val="24"/>
          <w:szCs w:val="24"/>
        </w:rPr>
        <w:t>kinanthropometrical</w:t>
      </w:r>
      <w:proofErr w:type="spellEnd"/>
      <w:r w:rsidRPr="003E7EB3">
        <w:rPr>
          <w:rFonts w:ascii="Times New Roman" w:hAnsi="Times New Roman" w:cs="Times New Roman"/>
          <w:sz w:val="24"/>
          <w:szCs w:val="24"/>
        </w:rPr>
        <w:t xml:space="preserve"> profile of youth Lithuanian basketball players aged 7-17 years old. </w:t>
      </w:r>
      <w:r w:rsidRPr="003E7EB3">
        <w:rPr>
          <w:rFonts w:ascii="Times New Roman" w:hAnsi="Times New Roman" w:cs="Times New Roman"/>
          <w:i/>
          <w:iCs/>
          <w:sz w:val="24"/>
          <w:szCs w:val="24"/>
        </w:rPr>
        <w:t>Frontiers in Psychology</w:t>
      </w:r>
      <w:r w:rsidRPr="003E7EB3">
        <w:rPr>
          <w:rFonts w:ascii="Times New Roman" w:hAnsi="Times New Roman" w:cs="Times New Roman"/>
          <w:sz w:val="24"/>
          <w:szCs w:val="24"/>
        </w:rPr>
        <w:t xml:space="preserve">, 10, 1677. </w:t>
      </w:r>
      <w:proofErr w:type="spellStart"/>
      <w:r w:rsidRPr="003E7EB3">
        <w:rPr>
          <w:rFonts w:ascii="Times New Roman" w:hAnsi="Times New Roman" w:cs="Times New Roman"/>
          <w:sz w:val="24"/>
          <w:szCs w:val="24"/>
        </w:rPr>
        <w:t>doi</w:t>
      </w:r>
      <w:proofErr w:type="spellEnd"/>
      <w:r w:rsidRPr="003E7EB3">
        <w:rPr>
          <w:rFonts w:ascii="Times New Roman" w:hAnsi="Times New Roman" w:cs="Times New Roman"/>
          <w:sz w:val="24"/>
          <w:szCs w:val="24"/>
        </w:rPr>
        <w:t>: 10.3389/fpsyg.2019.01677</w:t>
      </w:r>
    </w:p>
    <w:p w14:paraId="44CECBCD"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proofErr w:type="spellStart"/>
      <w:r w:rsidRPr="003E7EB3">
        <w:rPr>
          <w:rFonts w:ascii="Times New Roman" w:hAnsi="Times New Roman" w:cs="Times New Roman"/>
          <w:sz w:val="24"/>
          <w:szCs w:val="24"/>
        </w:rPr>
        <w:t>Teramoto</w:t>
      </w:r>
      <w:proofErr w:type="spellEnd"/>
      <w:r w:rsidRPr="003E7EB3">
        <w:rPr>
          <w:rFonts w:ascii="Times New Roman" w:hAnsi="Times New Roman" w:cs="Times New Roman"/>
          <w:sz w:val="24"/>
          <w:szCs w:val="24"/>
        </w:rPr>
        <w:t xml:space="preserve">, M., Cross, C. L., Rieger, R. H., </w:t>
      </w:r>
      <w:proofErr w:type="spellStart"/>
      <w:r w:rsidRPr="003E7EB3">
        <w:rPr>
          <w:rFonts w:ascii="Times New Roman" w:hAnsi="Times New Roman" w:cs="Times New Roman"/>
          <w:sz w:val="24"/>
          <w:szCs w:val="24"/>
        </w:rPr>
        <w:t>Maak</w:t>
      </w:r>
      <w:proofErr w:type="spellEnd"/>
      <w:r w:rsidRPr="003E7EB3">
        <w:rPr>
          <w:rFonts w:ascii="Times New Roman" w:hAnsi="Times New Roman" w:cs="Times New Roman"/>
          <w:sz w:val="24"/>
          <w:szCs w:val="24"/>
        </w:rPr>
        <w:t xml:space="preserve">, T. G., &amp; </w:t>
      </w:r>
      <w:proofErr w:type="spellStart"/>
      <w:r w:rsidRPr="003E7EB3">
        <w:rPr>
          <w:rFonts w:ascii="Times New Roman" w:hAnsi="Times New Roman" w:cs="Times New Roman"/>
          <w:sz w:val="24"/>
          <w:szCs w:val="24"/>
        </w:rPr>
        <w:t>Willick</w:t>
      </w:r>
      <w:proofErr w:type="spellEnd"/>
      <w:r w:rsidRPr="003E7EB3">
        <w:rPr>
          <w:rFonts w:ascii="Times New Roman" w:hAnsi="Times New Roman" w:cs="Times New Roman"/>
          <w:sz w:val="24"/>
          <w:szCs w:val="24"/>
        </w:rPr>
        <w:t>, S. E. (2018). Predictive validity of National Basketball Association draft combines on future performance. </w:t>
      </w:r>
      <w:r w:rsidRPr="003E7EB3">
        <w:rPr>
          <w:rFonts w:ascii="Times New Roman" w:hAnsi="Times New Roman" w:cs="Times New Roman"/>
          <w:i/>
          <w:iCs/>
          <w:sz w:val="24"/>
          <w:szCs w:val="24"/>
        </w:rPr>
        <w:t>Journal of Strength and Conditioning Research</w:t>
      </w:r>
      <w:r w:rsidRPr="003E7EB3">
        <w:rPr>
          <w:rFonts w:ascii="Times New Roman" w:hAnsi="Times New Roman" w:cs="Times New Roman"/>
          <w:sz w:val="24"/>
          <w:szCs w:val="24"/>
        </w:rPr>
        <w:t>, 32(2), 396-408.</w:t>
      </w:r>
    </w:p>
    <w:p w14:paraId="4C6D5967"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r w:rsidRPr="003E7EB3">
        <w:rPr>
          <w:rFonts w:ascii="Times New Roman" w:hAnsi="Times New Roman" w:cs="Times New Roman"/>
          <w:sz w:val="24"/>
          <w:szCs w:val="24"/>
        </w:rPr>
        <w:t>Creswell, J. W., &amp; Creswell, J. D. (2018). </w:t>
      </w:r>
      <w:r w:rsidRPr="003E7EB3">
        <w:rPr>
          <w:rFonts w:ascii="Times New Roman" w:hAnsi="Times New Roman" w:cs="Times New Roman"/>
          <w:i/>
          <w:iCs/>
          <w:sz w:val="24"/>
          <w:szCs w:val="24"/>
        </w:rPr>
        <w:t>Research design: Qualitative, quantitative, and mixed methods approaches</w:t>
      </w:r>
      <w:r w:rsidRPr="003E7EB3">
        <w:rPr>
          <w:rFonts w:ascii="Times New Roman" w:hAnsi="Times New Roman" w:cs="Times New Roman"/>
          <w:sz w:val="24"/>
          <w:szCs w:val="24"/>
        </w:rPr>
        <w:t> (5th ed.). SAGE Publications.</w:t>
      </w:r>
    </w:p>
    <w:p w14:paraId="1A0BADC5"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r w:rsidRPr="003E7EB3">
        <w:rPr>
          <w:rFonts w:ascii="Times New Roman" w:hAnsi="Times New Roman" w:cs="Times New Roman"/>
          <w:sz w:val="24"/>
          <w:szCs w:val="24"/>
        </w:rPr>
        <w:t>Liang, Y., Huang, X., Huang, J., &amp; Weng, Z. (2022). Application of online survey tools in educational research. In </w:t>
      </w:r>
      <w:r w:rsidRPr="003E7EB3">
        <w:rPr>
          <w:rFonts w:ascii="Times New Roman" w:hAnsi="Times New Roman" w:cs="Times New Roman"/>
          <w:i/>
          <w:iCs/>
          <w:sz w:val="24"/>
          <w:szCs w:val="24"/>
        </w:rPr>
        <w:t xml:space="preserve">Proceedings of the 2022 International Conference on Educational </w:t>
      </w:r>
      <w:r w:rsidRPr="003E7EB3">
        <w:rPr>
          <w:rFonts w:ascii="Times New Roman" w:hAnsi="Times New Roman" w:cs="Times New Roman"/>
          <w:i/>
          <w:iCs/>
          <w:sz w:val="24"/>
          <w:szCs w:val="24"/>
        </w:rPr>
        <w:lastRenderedPageBreak/>
        <w:t>Innovation</w:t>
      </w:r>
      <w:r w:rsidRPr="003E7EB3">
        <w:rPr>
          <w:rFonts w:ascii="Times New Roman" w:hAnsi="Times New Roman" w:cs="Times New Roman"/>
          <w:sz w:val="24"/>
          <w:szCs w:val="24"/>
        </w:rPr>
        <w:t>.</w:t>
      </w:r>
    </w:p>
    <w:p w14:paraId="4D1620E1" w14:textId="2DDB9872" w:rsidR="003E7EB3" w:rsidRPr="003E7EB3" w:rsidRDefault="003E7EB3" w:rsidP="000D5334">
      <w:pPr>
        <w:numPr>
          <w:ilvl w:val="0"/>
          <w:numId w:val="4"/>
        </w:numPr>
        <w:spacing w:line="360" w:lineRule="auto"/>
        <w:jc w:val="both"/>
        <w:rPr>
          <w:rFonts w:ascii="Times New Roman" w:hAnsi="Times New Roman" w:cs="Times New Roman"/>
          <w:sz w:val="24"/>
          <w:szCs w:val="24"/>
        </w:rPr>
      </w:pPr>
      <w:proofErr w:type="spellStart"/>
      <w:r w:rsidRPr="003E7EB3">
        <w:rPr>
          <w:rFonts w:ascii="Times New Roman" w:hAnsi="Times New Roman" w:cs="Times New Roman"/>
          <w:sz w:val="24"/>
          <w:szCs w:val="24"/>
        </w:rPr>
        <w:t>Saaty</w:t>
      </w:r>
      <w:proofErr w:type="spellEnd"/>
      <w:r w:rsidRPr="003E7EB3">
        <w:rPr>
          <w:rFonts w:ascii="Times New Roman" w:hAnsi="Times New Roman" w:cs="Times New Roman"/>
          <w:sz w:val="24"/>
          <w:szCs w:val="24"/>
        </w:rPr>
        <w:t>, T. L. (1980). </w:t>
      </w:r>
      <w:r w:rsidRPr="003E7EB3">
        <w:rPr>
          <w:rFonts w:ascii="Times New Roman" w:hAnsi="Times New Roman" w:cs="Times New Roman"/>
          <w:i/>
          <w:iCs/>
          <w:sz w:val="24"/>
          <w:szCs w:val="24"/>
        </w:rPr>
        <w:t xml:space="preserve">The analytic hierarchy </w:t>
      </w:r>
      <w:r w:rsidR="000D5334" w:rsidRPr="003E7EB3">
        <w:rPr>
          <w:rFonts w:ascii="Times New Roman" w:hAnsi="Times New Roman" w:cs="Times New Roman"/>
          <w:i/>
          <w:iCs/>
          <w:sz w:val="24"/>
          <w:szCs w:val="24"/>
        </w:rPr>
        <w:t>processes</w:t>
      </w:r>
      <w:r w:rsidRPr="003E7EB3">
        <w:rPr>
          <w:rFonts w:ascii="Times New Roman" w:hAnsi="Times New Roman" w:cs="Times New Roman"/>
          <w:sz w:val="24"/>
          <w:szCs w:val="24"/>
        </w:rPr>
        <w:t>. McGraw-Hill.</w:t>
      </w:r>
    </w:p>
    <w:p w14:paraId="64F8280F"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proofErr w:type="spellStart"/>
      <w:r w:rsidRPr="003E7EB3">
        <w:rPr>
          <w:rFonts w:ascii="Times New Roman" w:hAnsi="Times New Roman" w:cs="Times New Roman"/>
          <w:sz w:val="24"/>
          <w:szCs w:val="24"/>
        </w:rPr>
        <w:t>Yixiong</w:t>
      </w:r>
      <w:proofErr w:type="spellEnd"/>
      <w:r w:rsidRPr="003E7EB3">
        <w:rPr>
          <w:rFonts w:ascii="Times New Roman" w:hAnsi="Times New Roman" w:cs="Times New Roman"/>
          <w:sz w:val="24"/>
          <w:szCs w:val="24"/>
        </w:rPr>
        <w:t xml:space="preserve">, C., </w:t>
      </w:r>
      <w:proofErr w:type="spellStart"/>
      <w:r w:rsidRPr="003E7EB3">
        <w:rPr>
          <w:rFonts w:ascii="Times New Roman" w:hAnsi="Times New Roman" w:cs="Times New Roman"/>
          <w:sz w:val="24"/>
          <w:szCs w:val="24"/>
        </w:rPr>
        <w:t>Yixiong</w:t>
      </w:r>
      <w:proofErr w:type="spellEnd"/>
      <w:r w:rsidRPr="003E7EB3">
        <w:rPr>
          <w:rFonts w:ascii="Times New Roman" w:hAnsi="Times New Roman" w:cs="Times New Roman"/>
          <w:sz w:val="24"/>
          <w:szCs w:val="24"/>
        </w:rPr>
        <w:t xml:space="preserve">, C., </w:t>
      </w:r>
      <w:proofErr w:type="spellStart"/>
      <w:r w:rsidRPr="003E7EB3">
        <w:rPr>
          <w:rFonts w:ascii="Times New Roman" w:hAnsi="Times New Roman" w:cs="Times New Roman"/>
          <w:sz w:val="24"/>
          <w:szCs w:val="24"/>
        </w:rPr>
        <w:t>Fuzheng</w:t>
      </w:r>
      <w:proofErr w:type="spellEnd"/>
      <w:r w:rsidRPr="003E7EB3">
        <w:rPr>
          <w:rFonts w:ascii="Times New Roman" w:hAnsi="Times New Roman" w:cs="Times New Roman"/>
          <w:sz w:val="24"/>
          <w:szCs w:val="24"/>
        </w:rPr>
        <w:t xml:space="preserve">, L., </w:t>
      </w:r>
      <w:proofErr w:type="spellStart"/>
      <w:r w:rsidRPr="003E7EB3">
        <w:rPr>
          <w:rFonts w:ascii="Times New Roman" w:hAnsi="Times New Roman" w:cs="Times New Roman"/>
          <w:sz w:val="24"/>
          <w:szCs w:val="24"/>
        </w:rPr>
        <w:t>Dapeng</w:t>
      </w:r>
      <w:proofErr w:type="spellEnd"/>
      <w:r w:rsidRPr="003E7EB3">
        <w:rPr>
          <w:rFonts w:ascii="Times New Roman" w:hAnsi="Times New Roman" w:cs="Times New Roman"/>
          <w:sz w:val="24"/>
          <w:szCs w:val="24"/>
        </w:rPr>
        <w:t xml:space="preserve">, B., </w:t>
      </w:r>
      <w:proofErr w:type="spellStart"/>
      <w:r w:rsidRPr="003E7EB3">
        <w:rPr>
          <w:rFonts w:ascii="Times New Roman" w:hAnsi="Times New Roman" w:cs="Times New Roman"/>
          <w:sz w:val="24"/>
          <w:szCs w:val="24"/>
        </w:rPr>
        <w:t>Haoyang</w:t>
      </w:r>
      <w:proofErr w:type="spellEnd"/>
      <w:r w:rsidRPr="003E7EB3">
        <w:rPr>
          <w:rFonts w:ascii="Times New Roman" w:hAnsi="Times New Roman" w:cs="Times New Roman"/>
          <w:sz w:val="24"/>
          <w:szCs w:val="24"/>
        </w:rPr>
        <w:t xml:space="preserve">, L., </w:t>
      </w:r>
      <w:proofErr w:type="spellStart"/>
      <w:r w:rsidRPr="003E7EB3">
        <w:rPr>
          <w:rFonts w:ascii="Times New Roman" w:hAnsi="Times New Roman" w:cs="Times New Roman"/>
          <w:sz w:val="24"/>
          <w:szCs w:val="24"/>
        </w:rPr>
        <w:t>Shaoliang</w:t>
      </w:r>
      <w:proofErr w:type="spellEnd"/>
      <w:r w:rsidRPr="003E7EB3">
        <w:rPr>
          <w:rFonts w:ascii="Times New Roman" w:hAnsi="Times New Roman" w:cs="Times New Roman"/>
          <w:sz w:val="24"/>
          <w:szCs w:val="24"/>
        </w:rPr>
        <w:t>, Z., &amp; Gomez, M. A. (2019). Key anthropometric and physical determinants for different playing positions during National Basketball Association draft combine test. </w:t>
      </w:r>
      <w:r w:rsidRPr="003E7EB3">
        <w:rPr>
          <w:rFonts w:ascii="Times New Roman" w:hAnsi="Times New Roman" w:cs="Times New Roman"/>
          <w:i/>
          <w:iCs/>
          <w:sz w:val="24"/>
          <w:szCs w:val="24"/>
        </w:rPr>
        <w:t>Frontiers in Psychology</w:t>
      </w:r>
      <w:r w:rsidRPr="003E7EB3">
        <w:rPr>
          <w:rFonts w:ascii="Times New Roman" w:hAnsi="Times New Roman" w:cs="Times New Roman"/>
          <w:sz w:val="24"/>
          <w:szCs w:val="24"/>
        </w:rPr>
        <w:t>, 10, 2359. </w:t>
      </w:r>
      <w:hyperlink r:id="rId5" w:tgtFrame="_blank" w:history="1">
        <w:r w:rsidRPr="003E7EB3">
          <w:rPr>
            <w:rStyle w:val="a5"/>
            <w:rFonts w:ascii="Times New Roman" w:hAnsi="Times New Roman" w:cs="Times New Roman"/>
            <w:color w:val="auto"/>
            <w:sz w:val="24"/>
            <w:szCs w:val="24"/>
            <w:u w:val="none"/>
          </w:rPr>
          <w:t>https://doi.org/10.3389/fpsyg.2019.02359</w:t>
        </w:r>
      </w:hyperlink>
    </w:p>
    <w:p w14:paraId="1F25BCDD"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r w:rsidRPr="003E7EB3">
        <w:rPr>
          <w:rFonts w:ascii="Times New Roman" w:hAnsi="Times New Roman" w:cs="Times New Roman"/>
          <w:sz w:val="24"/>
          <w:szCs w:val="24"/>
        </w:rPr>
        <w:t>Yin, R. K. (2018). </w:t>
      </w:r>
      <w:r w:rsidRPr="003E7EB3">
        <w:rPr>
          <w:rFonts w:ascii="Times New Roman" w:hAnsi="Times New Roman" w:cs="Times New Roman"/>
          <w:i/>
          <w:iCs/>
          <w:sz w:val="24"/>
          <w:szCs w:val="24"/>
        </w:rPr>
        <w:t>Case study research and applications: Design and methods</w:t>
      </w:r>
      <w:r w:rsidRPr="003E7EB3">
        <w:rPr>
          <w:rFonts w:ascii="Times New Roman" w:hAnsi="Times New Roman" w:cs="Times New Roman"/>
          <w:sz w:val="24"/>
          <w:szCs w:val="24"/>
        </w:rPr>
        <w:t> (6th ed.). SAGE Publications.</w:t>
      </w:r>
    </w:p>
    <w:p w14:paraId="05CB35F7"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r w:rsidRPr="003E7EB3">
        <w:rPr>
          <w:rFonts w:ascii="Times New Roman" w:hAnsi="Times New Roman" w:cs="Times New Roman"/>
          <w:sz w:val="24"/>
          <w:szCs w:val="24"/>
        </w:rPr>
        <w:t>Braun, V., &amp; Clarke, V. (2006). Using thematic analysis in psychology. </w:t>
      </w:r>
      <w:r w:rsidRPr="003E7EB3">
        <w:rPr>
          <w:rFonts w:ascii="Times New Roman" w:hAnsi="Times New Roman" w:cs="Times New Roman"/>
          <w:i/>
          <w:iCs/>
          <w:sz w:val="24"/>
          <w:szCs w:val="24"/>
        </w:rPr>
        <w:t>Qualitative Research in Psychology</w:t>
      </w:r>
      <w:r w:rsidRPr="003E7EB3">
        <w:rPr>
          <w:rFonts w:ascii="Times New Roman" w:hAnsi="Times New Roman" w:cs="Times New Roman"/>
          <w:sz w:val="24"/>
          <w:szCs w:val="24"/>
        </w:rPr>
        <w:t>, 3(2), 77-101.</w:t>
      </w:r>
    </w:p>
    <w:p w14:paraId="5FE209BD"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r w:rsidRPr="003E7EB3">
        <w:rPr>
          <w:rFonts w:ascii="Times New Roman" w:hAnsi="Times New Roman" w:cs="Times New Roman"/>
          <w:sz w:val="24"/>
          <w:szCs w:val="24"/>
        </w:rPr>
        <w:t>Ren, J. Q., &amp; Liu, Y. X. (2019). Building platforms for the internationalization of vocational education and their functions. </w:t>
      </w:r>
      <w:r w:rsidRPr="003E7EB3">
        <w:rPr>
          <w:rFonts w:ascii="Times New Roman" w:hAnsi="Times New Roman" w:cs="Times New Roman"/>
          <w:i/>
          <w:iCs/>
          <w:sz w:val="24"/>
          <w:szCs w:val="24"/>
        </w:rPr>
        <w:t>China Vocational and Technical Education</w:t>
      </w:r>
      <w:r w:rsidRPr="003E7EB3">
        <w:rPr>
          <w:rFonts w:ascii="Times New Roman" w:hAnsi="Times New Roman" w:cs="Times New Roman"/>
          <w:sz w:val="24"/>
          <w:szCs w:val="24"/>
        </w:rPr>
        <w:t>, 12, 20-23.</w:t>
      </w:r>
    </w:p>
    <w:p w14:paraId="7D9C7CA9"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r w:rsidRPr="003E7EB3">
        <w:rPr>
          <w:rFonts w:ascii="Times New Roman" w:hAnsi="Times New Roman" w:cs="Times New Roman"/>
          <w:sz w:val="24"/>
          <w:szCs w:val="24"/>
        </w:rPr>
        <w:t>Gao, H. Y., &amp; Zhong, X. J. (2021). Constructing a foreign language education community in higher vocational colleges. </w:t>
      </w:r>
      <w:r w:rsidRPr="003E7EB3">
        <w:rPr>
          <w:rFonts w:ascii="Times New Roman" w:hAnsi="Times New Roman" w:cs="Times New Roman"/>
          <w:i/>
          <w:iCs/>
          <w:sz w:val="24"/>
          <w:szCs w:val="24"/>
        </w:rPr>
        <w:t>Ability and Wisdom</w:t>
      </w:r>
      <w:r w:rsidRPr="003E7EB3">
        <w:rPr>
          <w:rFonts w:ascii="Times New Roman" w:hAnsi="Times New Roman" w:cs="Times New Roman"/>
          <w:sz w:val="24"/>
          <w:szCs w:val="24"/>
        </w:rPr>
        <w:t>, 36, 67-70.</w:t>
      </w:r>
    </w:p>
    <w:p w14:paraId="776759E6"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r w:rsidRPr="003E7EB3">
        <w:rPr>
          <w:rFonts w:ascii="Times New Roman" w:hAnsi="Times New Roman" w:cs="Times New Roman"/>
          <w:sz w:val="24"/>
          <w:szCs w:val="24"/>
        </w:rPr>
        <w:t>Mu, Y. H. (2020). Analysis of the internationalization of China’s vocational education under the “Belt and Road” initiative. </w:t>
      </w:r>
      <w:r w:rsidRPr="003E7EB3">
        <w:rPr>
          <w:rFonts w:ascii="Times New Roman" w:hAnsi="Times New Roman" w:cs="Times New Roman"/>
          <w:i/>
          <w:iCs/>
          <w:sz w:val="24"/>
          <w:szCs w:val="24"/>
        </w:rPr>
        <w:t>PR World</w:t>
      </w:r>
      <w:r w:rsidRPr="003E7EB3">
        <w:rPr>
          <w:rFonts w:ascii="Times New Roman" w:hAnsi="Times New Roman" w:cs="Times New Roman"/>
          <w:sz w:val="24"/>
          <w:szCs w:val="24"/>
        </w:rPr>
        <w:t>, 16, 11-13.</w:t>
      </w:r>
    </w:p>
    <w:p w14:paraId="52F0CC28"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proofErr w:type="spellStart"/>
      <w:r w:rsidRPr="003E7EB3">
        <w:rPr>
          <w:rFonts w:ascii="Times New Roman" w:hAnsi="Times New Roman" w:cs="Times New Roman"/>
          <w:sz w:val="24"/>
          <w:szCs w:val="24"/>
        </w:rPr>
        <w:t>Diao</w:t>
      </w:r>
      <w:proofErr w:type="spellEnd"/>
      <w:r w:rsidRPr="003E7EB3">
        <w:rPr>
          <w:rFonts w:ascii="Times New Roman" w:hAnsi="Times New Roman" w:cs="Times New Roman"/>
          <w:sz w:val="24"/>
          <w:szCs w:val="24"/>
        </w:rPr>
        <w:t>, X. Z. (2021). A review of overseas education by Chinese universities under the “Belt and Road” initiative. </w:t>
      </w:r>
      <w:r w:rsidRPr="003E7EB3">
        <w:rPr>
          <w:rFonts w:ascii="Times New Roman" w:hAnsi="Times New Roman" w:cs="Times New Roman"/>
          <w:i/>
          <w:iCs/>
          <w:sz w:val="24"/>
          <w:szCs w:val="24"/>
        </w:rPr>
        <w:t>Western Journal</w:t>
      </w:r>
      <w:r w:rsidRPr="003E7EB3">
        <w:rPr>
          <w:rFonts w:ascii="Times New Roman" w:hAnsi="Times New Roman" w:cs="Times New Roman"/>
          <w:sz w:val="24"/>
          <w:szCs w:val="24"/>
        </w:rPr>
        <w:t>, 14, 128-131.</w:t>
      </w:r>
    </w:p>
    <w:p w14:paraId="7AD50141"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r w:rsidRPr="003E7EB3">
        <w:rPr>
          <w:rFonts w:ascii="Times New Roman" w:hAnsi="Times New Roman" w:cs="Times New Roman"/>
          <w:sz w:val="24"/>
          <w:szCs w:val="24"/>
        </w:rPr>
        <w:t>Zhang, Z. P. (2020). Challenges and countermeasures for the international development of higher vocational education under the “Belt and Road” initiative. </w:t>
      </w:r>
      <w:r w:rsidRPr="003E7EB3">
        <w:rPr>
          <w:rFonts w:ascii="Times New Roman" w:hAnsi="Times New Roman" w:cs="Times New Roman"/>
          <w:i/>
          <w:iCs/>
          <w:sz w:val="24"/>
          <w:szCs w:val="24"/>
        </w:rPr>
        <w:t>Industry and Information Technology Education</w:t>
      </w:r>
      <w:r w:rsidRPr="003E7EB3">
        <w:rPr>
          <w:rFonts w:ascii="Times New Roman" w:hAnsi="Times New Roman" w:cs="Times New Roman"/>
          <w:sz w:val="24"/>
          <w:szCs w:val="24"/>
        </w:rPr>
        <w:t>, 7, 85-89.</w:t>
      </w:r>
    </w:p>
    <w:p w14:paraId="589E1BF0"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r w:rsidRPr="003E7EB3">
        <w:rPr>
          <w:rFonts w:ascii="Times New Roman" w:hAnsi="Times New Roman" w:cs="Times New Roman"/>
          <w:sz w:val="24"/>
          <w:szCs w:val="24"/>
        </w:rPr>
        <w:t>Feng, Y. (2020). Multi-stakeholder coordination mechanisms in the development of vocational education abroad. </w:t>
      </w:r>
      <w:r w:rsidRPr="003E7EB3">
        <w:rPr>
          <w:rFonts w:ascii="Times New Roman" w:hAnsi="Times New Roman" w:cs="Times New Roman"/>
          <w:i/>
          <w:iCs/>
          <w:sz w:val="24"/>
          <w:szCs w:val="24"/>
        </w:rPr>
        <w:t>Journal of Tianjin Vocational College of Commerce</w:t>
      </w:r>
      <w:r w:rsidRPr="003E7EB3">
        <w:rPr>
          <w:rFonts w:ascii="Times New Roman" w:hAnsi="Times New Roman" w:cs="Times New Roman"/>
          <w:sz w:val="24"/>
          <w:szCs w:val="24"/>
        </w:rPr>
        <w:t>, 8(6), 75-80.</w:t>
      </w:r>
    </w:p>
    <w:p w14:paraId="44A2B3CF" w14:textId="77777777" w:rsidR="003E7EB3" w:rsidRPr="003E7EB3" w:rsidRDefault="003E7EB3" w:rsidP="003E7EB3">
      <w:pPr>
        <w:numPr>
          <w:ilvl w:val="0"/>
          <w:numId w:val="4"/>
        </w:numPr>
        <w:spacing w:line="360" w:lineRule="auto"/>
        <w:jc w:val="both"/>
        <w:rPr>
          <w:rFonts w:ascii="Times New Roman" w:hAnsi="Times New Roman" w:cs="Times New Roman"/>
          <w:sz w:val="24"/>
          <w:szCs w:val="24"/>
        </w:rPr>
      </w:pPr>
      <w:proofErr w:type="spellStart"/>
      <w:r w:rsidRPr="003E7EB3">
        <w:rPr>
          <w:rFonts w:ascii="Times New Roman" w:hAnsi="Times New Roman" w:cs="Times New Roman"/>
          <w:sz w:val="24"/>
          <w:szCs w:val="24"/>
        </w:rPr>
        <w:t>Pyne</w:t>
      </w:r>
      <w:proofErr w:type="spellEnd"/>
      <w:r w:rsidRPr="003E7EB3">
        <w:rPr>
          <w:rFonts w:ascii="Times New Roman" w:hAnsi="Times New Roman" w:cs="Times New Roman"/>
          <w:sz w:val="24"/>
          <w:szCs w:val="24"/>
        </w:rPr>
        <w:t xml:space="preserve">, D. B., Montgomery, P. G., </w:t>
      </w:r>
      <w:proofErr w:type="spellStart"/>
      <w:r w:rsidRPr="003E7EB3">
        <w:rPr>
          <w:rFonts w:ascii="Times New Roman" w:hAnsi="Times New Roman" w:cs="Times New Roman"/>
          <w:sz w:val="24"/>
          <w:szCs w:val="24"/>
        </w:rPr>
        <w:t>Klusemann</w:t>
      </w:r>
      <w:proofErr w:type="spellEnd"/>
      <w:r w:rsidRPr="003E7EB3">
        <w:rPr>
          <w:rFonts w:ascii="Times New Roman" w:hAnsi="Times New Roman" w:cs="Times New Roman"/>
          <w:sz w:val="24"/>
          <w:szCs w:val="24"/>
        </w:rPr>
        <w:t>, M. J., &amp; Drinkwater, E. J. (2011). </w:t>
      </w:r>
      <w:r w:rsidRPr="003E7EB3">
        <w:rPr>
          <w:rFonts w:ascii="Times New Roman" w:hAnsi="Times New Roman" w:cs="Times New Roman"/>
          <w:i/>
          <w:iCs/>
          <w:sz w:val="24"/>
          <w:szCs w:val="24"/>
        </w:rPr>
        <w:t>Basketball Australia fitness testing proto</w:t>
      </w:r>
      <w:bookmarkStart w:id="14" w:name="_GoBack"/>
      <w:bookmarkEnd w:id="14"/>
      <w:r w:rsidRPr="003E7EB3">
        <w:rPr>
          <w:rFonts w:ascii="Times New Roman" w:hAnsi="Times New Roman" w:cs="Times New Roman"/>
          <w:i/>
          <w:iCs/>
          <w:sz w:val="24"/>
          <w:szCs w:val="24"/>
        </w:rPr>
        <w:t>cols</w:t>
      </w:r>
      <w:r w:rsidRPr="003E7EB3">
        <w:rPr>
          <w:rFonts w:ascii="Times New Roman" w:hAnsi="Times New Roman" w:cs="Times New Roman"/>
          <w:sz w:val="24"/>
          <w:szCs w:val="24"/>
        </w:rPr>
        <w:t>. Australian Institute of Sport/Basketball Australia.</w:t>
      </w:r>
    </w:p>
    <w:bookmarkEnd w:id="3"/>
    <w:p w14:paraId="2DB5A36A" w14:textId="77777777" w:rsidR="003E7EB3" w:rsidRPr="000D5334" w:rsidRDefault="003E7EB3" w:rsidP="003E7EB3">
      <w:pPr>
        <w:spacing w:line="360" w:lineRule="auto"/>
        <w:jc w:val="both"/>
        <w:rPr>
          <w:rFonts w:ascii="Times New Roman" w:hAnsi="Times New Roman" w:cstheme="minorBidi"/>
          <w:cs/>
        </w:rPr>
      </w:pPr>
    </w:p>
    <w:sectPr w:rsidR="003E7EB3" w:rsidRPr="000D5334" w:rsidSect="0063512E">
      <w:pgSz w:w="12240" w:h="15840"/>
      <w:pgMar w:top="1800" w:right="1152" w:bottom="1152"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68602A87-EF4B-44B9-82A3-E281E2E38728}"/>
  </w:font>
  <w:font w:name="Cordia New">
    <w:panose1 w:val="020B0304020202020204"/>
    <w:charset w:val="00"/>
    <w:family w:val="swiss"/>
    <w:pitch w:val="variable"/>
    <w:sig w:usb0="81000003" w:usb1="00000000" w:usb2="00000000" w:usb3="00000000" w:csb0="00010001" w:csb1="00000000"/>
    <w:embedRegular r:id="rId2" w:fontKey="{6018C848-114A-4D94-81D9-BF29C18FF12F}"/>
    <w:embedBold r:id="rId3" w:fontKey="{676F20DC-3EB1-4608-945F-D3DD46FEFA71}"/>
  </w:font>
  <w:font w:name="Times">
    <w:panose1 w:val="02020603050405020304"/>
    <w:charset w:val="00"/>
    <w:family w:val="roman"/>
    <w:pitch w:val="variable"/>
    <w:sig w:usb0="E0002EFF" w:usb1="C000785B" w:usb2="00000009" w:usb3="00000000" w:csb0="000001FF" w:csb1="00000000"/>
    <w:embedRegular r:id="rId4" w:fontKey="{326D8699-EB98-4EA8-A936-9DD3AF98ECA6}"/>
    <w:embedBold r:id="rId5" w:fontKey="{1F81CA2A-85CB-498C-A841-76AC362AAE1F}"/>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6" w:fontKey="{B9C346A7-D5D5-4356-8221-3A231F5AF14F}"/>
  </w:font>
  <w:font w:name="Angsana New">
    <w:panose1 w:val="02020603050405020304"/>
    <w:charset w:val="00"/>
    <w:family w:val="roman"/>
    <w:pitch w:val="variable"/>
    <w:sig w:usb0="81000003" w:usb1="00000000" w:usb2="00000000" w:usb3="00000000" w:csb0="00010001" w:csb1="00000000"/>
    <w:embedRegular r:id="rId7" w:fontKey="{EC354061-0DE9-49F0-9163-B84CECEF0B19}"/>
  </w:font>
  <w:font w:name="Cambria">
    <w:panose1 w:val="02040503050406030204"/>
    <w:charset w:val="00"/>
    <w:family w:val="roman"/>
    <w:pitch w:val="variable"/>
    <w:sig w:usb0="E00006FF" w:usb1="420024FF" w:usb2="02000000" w:usb3="00000000" w:csb0="0000019F" w:csb1="00000000"/>
    <w:embedRegular r:id="rId8" w:fontKey="{61DDE5AF-D4B7-4B83-9AA9-8061BEC0631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60459"/>
    <w:multiLevelType w:val="multilevel"/>
    <w:tmpl w:val="ED486EB0"/>
    <w:lvl w:ilvl="0">
      <w:start w:val="1"/>
      <w:numFmt w:val="bullet"/>
      <w:lvlText w:val="●"/>
      <w:lvlJc w:val="left"/>
      <w:pPr>
        <w:ind w:left="60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1">
      <w:start w:val="1"/>
      <w:numFmt w:val="bullet"/>
      <w:lvlText w:val="○"/>
      <w:lvlJc w:val="left"/>
      <w:pPr>
        <w:ind w:left="144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2">
      <w:start w:val="1"/>
      <w:numFmt w:val="bullet"/>
      <w:lvlText w:val="■"/>
      <w:lvlJc w:val="left"/>
      <w:pPr>
        <w:ind w:left="216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3">
      <w:start w:val="1"/>
      <w:numFmt w:val="bullet"/>
      <w:lvlText w:val="■"/>
      <w:lvlJc w:val="left"/>
      <w:pPr>
        <w:ind w:left="288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4">
      <w:start w:val="1"/>
      <w:numFmt w:val="bullet"/>
      <w:lvlText w:val="■"/>
      <w:lvlJc w:val="left"/>
      <w:pPr>
        <w:ind w:left="360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5">
      <w:start w:val="1"/>
      <w:numFmt w:val="bullet"/>
      <w:lvlText w:val="■"/>
      <w:lvlJc w:val="left"/>
      <w:pPr>
        <w:ind w:left="432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6">
      <w:start w:val="1"/>
      <w:numFmt w:val="bullet"/>
      <w:lvlText w:val="■"/>
      <w:lvlJc w:val="left"/>
      <w:pPr>
        <w:ind w:left="504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7">
      <w:start w:val="1"/>
      <w:numFmt w:val="bullet"/>
      <w:lvlText w:val="■"/>
      <w:lvlJc w:val="left"/>
      <w:pPr>
        <w:ind w:left="576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8">
      <w:start w:val="1"/>
      <w:numFmt w:val="bullet"/>
      <w:lvlText w:val="■"/>
      <w:lvlJc w:val="left"/>
      <w:pPr>
        <w:ind w:left="6480" w:hanging="360"/>
      </w:pPr>
      <w:rPr>
        <w:rFonts w:ascii="Arial" w:eastAsia="Arial" w:hAnsi="Arial" w:cs="Arial"/>
        <w:b w:val="0"/>
        <w:bCs w:val="0"/>
        <w:i w:val="0"/>
        <w:iCs w:val="0"/>
        <w:smallCaps w:val="0"/>
        <w:strike w:val="0"/>
        <w:dstrike w:val="0"/>
        <w:color w:val="000000"/>
        <w:sz w:val="22"/>
        <w:szCs w:val="22"/>
        <w:u w:val="none"/>
        <w:effect w:val="none"/>
        <w:vertAlign w:val="baseline"/>
      </w:rPr>
    </w:lvl>
  </w:abstractNum>
  <w:abstractNum w:abstractNumId="1" w15:restartNumberingAfterBreak="0">
    <w:nsid w:val="27BD45BF"/>
    <w:multiLevelType w:val="multilevel"/>
    <w:tmpl w:val="EADC9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603669"/>
    <w:multiLevelType w:val="multilevel"/>
    <w:tmpl w:val="2C32D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8F34C0"/>
    <w:multiLevelType w:val="multilevel"/>
    <w:tmpl w:val="F28A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F56BB1"/>
    <w:multiLevelType w:val="multilevel"/>
    <w:tmpl w:val="71CAE090"/>
    <w:lvl w:ilvl="0">
      <w:start w:val="1"/>
      <w:numFmt w:val="bullet"/>
      <w:lvlText w:val="●"/>
      <w:lvlJc w:val="left"/>
      <w:pPr>
        <w:ind w:left="60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1">
      <w:start w:val="1"/>
      <w:numFmt w:val="bullet"/>
      <w:lvlText w:val="○"/>
      <w:lvlJc w:val="left"/>
      <w:pPr>
        <w:ind w:left="144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2">
      <w:start w:val="1"/>
      <w:numFmt w:val="bullet"/>
      <w:lvlText w:val="■"/>
      <w:lvlJc w:val="left"/>
      <w:pPr>
        <w:ind w:left="216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3">
      <w:start w:val="1"/>
      <w:numFmt w:val="bullet"/>
      <w:lvlText w:val="■"/>
      <w:lvlJc w:val="left"/>
      <w:pPr>
        <w:ind w:left="288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4">
      <w:start w:val="1"/>
      <w:numFmt w:val="bullet"/>
      <w:lvlText w:val="■"/>
      <w:lvlJc w:val="left"/>
      <w:pPr>
        <w:ind w:left="360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5">
      <w:start w:val="1"/>
      <w:numFmt w:val="bullet"/>
      <w:lvlText w:val="■"/>
      <w:lvlJc w:val="left"/>
      <w:pPr>
        <w:ind w:left="432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6">
      <w:start w:val="1"/>
      <w:numFmt w:val="bullet"/>
      <w:lvlText w:val="■"/>
      <w:lvlJc w:val="left"/>
      <w:pPr>
        <w:ind w:left="504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7">
      <w:start w:val="1"/>
      <w:numFmt w:val="bullet"/>
      <w:lvlText w:val="■"/>
      <w:lvlJc w:val="left"/>
      <w:pPr>
        <w:ind w:left="576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8">
      <w:start w:val="1"/>
      <w:numFmt w:val="bullet"/>
      <w:lvlText w:val="■"/>
      <w:lvlJc w:val="left"/>
      <w:pPr>
        <w:ind w:left="6480" w:hanging="360"/>
      </w:pPr>
      <w:rPr>
        <w:rFonts w:ascii="Arial" w:eastAsia="Arial" w:hAnsi="Arial" w:cs="Arial"/>
        <w:b w:val="0"/>
        <w:bCs w:val="0"/>
        <w:i w:val="0"/>
        <w:iCs w:val="0"/>
        <w:smallCaps w:val="0"/>
        <w:strike w:val="0"/>
        <w:dstrike w:val="0"/>
        <w:color w:val="000000"/>
        <w:sz w:val="22"/>
        <w:szCs w:val="22"/>
        <w:u w:val="none"/>
        <w:effect w:val="none"/>
        <w:vertAlign w:val="baseline"/>
      </w:rPr>
    </w:lvl>
  </w:abstractNum>
  <w:abstractNum w:abstractNumId="5" w15:restartNumberingAfterBreak="0">
    <w:nsid w:val="7749007E"/>
    <w:multiLevelType w:val="multilevel"/>
    <w:tmpl w:val="0750F77A"/>
    <w:lvl w:ilvl="0">
      <w:start w:val="1"/>
      <w:numFmt w:val="bullet"/>
      <w:lvlText w:val="●"/>
      <w:lvlJc w:val="left"/>
      <w:pPr>
        <w:ind w:left="60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1">
      <w:start w:val="1"/>
      <w:numFmt w:val="bullet"/>
      <w:lvlText w:val="○"/>
      <w:lvlJc w:val="left"/>
      <w:pPr>
        <w:ind w:left="144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2">
      <w:start w:val="1"/>
      <w:numFmt w:val="bullet"/>
      <w:lvlText w:val="■"/>
      <w:lvlJc w:val="left"/>
      <w:pPr>
        <w:ind w:left="216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3">
      <w:start w:val="1"/>
      <w:numFmt w:val="bullet"/>
      <w:lvlText w:val="■"/>
      <w:lvlJc w:val="left"/>
      <w:pPr>
        <w:ind w:left="288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4">
      <w:start w:val="1"/>
      <w:numFmt w:val="bullet"/>
      <w:lvlText w:val="■"/>
      <w:lvlJc w:val="left"/>
      <w:pPr>
        <w:ind w:left="360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5">
      <w:start w:val="1"/>
      <w:numFmt w:val="bullet"/>
      <w:lvlText w:val="■"/>
      <w:lvlJc w:val="left"/>
      <w:pPr>
        <w:ind w:left="432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6">
      <w:start w:val="1"/>
      <w:numFmt w:val="bullet"/>
      <w:lvlText w:val="■"/>
      <w:lvlJc w:val="left"/>
      <w:pPr>
        <w:ind w:left="504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7">
      <w:start w:val="1"/>
      <w:numFmt w:val="bullet"/>
      <w:lvlText w:val="■"/>
      <w:lvlJc w:val="left"/>
      <w:pPr>
        <w:ind w:left="576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8">
      <w:start w:val="1"/>
      <w:numFmt w:val="bullet"/>
      <w:lvlText w:val="■"/>
      <w:lvlJc w:val="left"/>
      <w:pPr>
        <w:ind w:left="6480" w:hanging="360"/>
      </w:pPr>
      <w:rPr>
        <w:rFonts w:ascii="Arial" w:eastAsia="Arial" w:hAnsi="Arial" w:cs="Arial"/>
        <w:b w:val="0"/>
        <w:bCs w:val="0"/>
        <w:i w:val="0"/>
        <w:iCs w:val="0"/>
        <w:smallCaps w:val="0"/>
        <w:strike w:val="0"/>
        <w:dstrike w:val="0"/>
        <w:color w:val="000000"/>
        <w:sz w:val="22"/>
        <w:szCs w:val="22"/>
        <w:u w:val="none"/>
        <w:effect w:val="none"/>
        <w:vertAlign w:val="baseline"/>
      </w:rPr>
    </w:lvl>
  </w:abstractNum>
  <w:num w:numId="1">
    <w:abstractNumId w:val="0"/>
  </w:num>
  <w:num w:numId="2">
    <w:abstractNumId w:val="4"/>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D25"/>
    <w:rsid w:val="000D5334"/>
    <w:rsid w:val="000E298B"/>
    <w:rsid w:val="00173D25"/>
    <w:rsid w:val="001D453F"/>
    <w:rsid w:val="002C0C6C"/>
    <w:rsid w:val="00344A29"/>
    <w:rsid w:val="003D6E7F"/>
    <w:rsid w:val="003E7EB3"/>
    <w:rsid w:val="0049613B"/>
    <w:rsid w:val="005B347D"/>
    <w:rsid w:val="005C3CD5"/>
    <w:rsid w:val="0063512E"/>
    <w:rsid w:val="006858F3"/>
    <w:rsid w:val="00753CEC"/>
    <w:rsid w:val="00797D6D"/>
    <w:rsid w:val="00850DDB"/>
    <w:rsid w:val="009617D6"/>
    <w:rsid w:val="00A23638"/>
    <w:rsid w:val="00A7014D"/>
    <w:rsid w:val="00BA2436"/>
    <w:rsid w:val="00BE6606"/>
    <w:rsid w:val="00C13A4F"/>
    <w:rsid w:val="00E05E02"/>
    <w:rsid w:val="00E167AE"/>
    <w:rsid w:val="00FA4F70"/>
    <w:rsid w:val="00FC2A5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56CE"/>
  <w15:docId w15:val="{C2C2FACF-817E-45A2-8F21-AF7B0BB92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zh-CN" w:bidi="th-TH"/>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spacing w:before="240" w:after="240"/>
      <w:outlineLvl w:val="0"/>
    </w:pPr>
    <w:rPr>
      <w:b/>
      <w:bCs/>
      <w:sz w:val="48"/>
      <w:szCs w:val="48"/>
    </w:rPr>
  </w:style>
  <w:style w:type="paragraph" w:styleId="2">
    <w:name w:val="heading 2"/>
    <w:basedOn w:val="a"/>
    <w:next w:val="a"/>
    <w:uiPriority w:val="9"/>
    <w:unhideWhenUsed/>
    <w:qFormat/>
    <w:pPr>
      <w:pBdr>
        <w:top w:val="nil"/>
        <w:left w:val="nil"/>
        <w:bottom w:val="nil"/>
        <w:right w:val="nil"/>
        <w:between w:val="nil"/>
      </w:pBdr>
      <w:spacing w:before="225" w:after="225"/>
      <w:outlineLvl w:val="1"/>
    </w:pPr>
    <w:rPr>
      <w:b/>
      <w:bCs/>
      <w:sz w:val="36"/>
      <w:szCs w:val="36"/>
    </w:rPr>
  </w:style>
  <w:style w:type="paragraph" w:styleId="3">
    <w:name w:val="heading 3"/>
    <w:basedOn w:val="a"/>
    <w:next w:val="a"/>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4">
    <w:name w:val="heading 4"/>
    <w:basedOn w:val="a"/>
    <w:next w:val="a"/>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5">
    <w:name w:val="heading 5"/>
    <w:basedOn w:val="a"/>
    <w:next w:val="a"/>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6">
    <w:name w:val="heading 6"/>
    <w:basedOn w:val="a"/>
    <w:next w:val="a"/>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character" w:styleId="a5">
    <w:name w:val="Hyperlink"/>
    <w:basedOn w:val="a0"/>
    <w:uiPriority w:val="99"/>
    <w:unhideWhenUsed/>
    <w:rsid w:val="003E7EB3"/>
    <w:rPr>
      <w:color w:val="0000FF" w:themeColor="hyperlink"/>
      <w:u w:val="single"/>
    </w:rPr>
  </w:style>
  <w:style w:type="character" w:styleId="a6">
    <w:name w:val="Unresolved Mention"/>
    <w:basedOn w:val="a0"/>
    <w:uiPriority w:val="99"/>
    <w:semiHidden/>
    <w:unhideWhenUsed/>
    <w:rsid w:val="003E7EB3"/>
    <w:rPr>
      <w:color w:val="605E5C"/>
      <w:shd w:val="clear" w:color="auto" w:fill="E1DFDD"/>
    </w:rPr>
  </w:style>
  <w:style w:type="paragraph" w:styleId="a7">
    <w:name w:val="List Paragraph"/>
    <w:basedOn w:val="a"/>
    <w:uiPriority w:val="34"/>
    <w:qFormat/>
    <w:rsid w:val="009617D6"/>
    <w:pPr>
      <w:ind w:left="720"/>
      <w:contextualSpacing/>
    </w:pPr>
    <w:rPr>
      <w:rFonts w:cs="Cordia New"/>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2681">
      <w:bodyDiv w:val="1"/>
      <w:marLeft w:val="0"/>
      <w:marRight w:val="0"/>
      <w:marTop w:val="0"/>
      <w:marBottom w:val="0"/>
      <w:divBdr>
        <w:top w:val="none" w:sz="0" w:space="0" w:color="auto"/>
        <w:left w:val="none" w:sz="0" w:space="0" w:color="auto"/>
        <w:bottom w:val="none" w:sz="0" w:space="0" w:color="auto"/>
        <w:right w:val="none" w:sz="0" w:space="0" w:color="auto"/>
      </w:divBdr>
    </w:div>
    <w:div w:id="1127166153">
      <w:bodyDiv w:val="1"/>
      <w:marLeft w:val="0"/>
      <w:marRight w:val="0"/>
      <w:marTop w:val="0"/>
      <w:marBottom w:val="0"/>
      <w:divBdr>
        <w:top w:val="none" w:sz="0" w:space="0" w:color="auto"/>
        <w:left w:val="none" w:sz="0" w:space="0" w:color="auto"/>
        <w:bottom w:val="none" w:sz="0" w:space="0" w:color="auto"/>
        <w:right w:val="none" w:sz="0" w:space="0" w:color="auto"/>
      </w:divBdr>
    </w:div>
    <w:div w:id="1933733889">
      <w:bodyDiv w:val="1"/>
      <w:marLeft w:val="0"/>
      <w:marRight w:val="0"/>
      <w:marTop w:val="0"/>
      <w:marBottom w:val="0"/>
      <w:divBdr>
        <w:top w:val="none" w:sz="0" w:space="0" w:color="auto"/>
        <w:left w:val="none" w:sz="0" w:space="0" w:color="auto"/>
        <w:bottom w:val="none" w:sz="0" w:space="0" w:color="auto"/>
        <w:right w:val="none" w:sz="0" w:space="0" w:color="auto"/>
      </w:divBdr>
    </w:div>
    <w:div w:id="2013798221">
      <w:bodyDiv w:val="1"/>
      <w:marLeft w:val="0"/>
      <w:marRight w:val="0"/>
      <w:marTop w:val="0"/>
      <w:marBottom w:val="0"/>
      <w:divBdr>
        <w:top w:val="none" w:sz="0" w:space="0" w:color="auto"/>
        <w:left w:val="none" w:sz="0" w:space="0" w:color="auto"/>
        <w:bottom w:val="none" w:sz="0" w:space="0" w:color="auto"/>
        <w:right w:val="none" w:sz="0" w:space="0" w:color="auto"/>
      </w:divBdr>
    </w:div>
    <w:div w:id="2057772755">
      <w:bodyDiv w:val="1"/>
      <w:marLeft w:val="0"/>
      <w:marRight w:val="0"/>
      <w:marTop w:val="0"/>
      <w:marBottom w:val="0"/>
      <w:divBdr>
        <w:top w:val="none" w:sz="0" w:space="0" w:color="auto"/>
        <w:left w:val="none" w:sz="0" w:space="0" w:color="auto"/>
        <w:bottom w:val="none" w:sz="0" w:space="0" w:color="auto"/>
        <w:right w:val="none" w:sz="0" w:space="0" w:color="auto"/>
      </w:divBdr>
    </w:div>
    <w:div w:id="2112161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3389/fpsyg.2019.02359"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10</Pages>
  <Words>3041</Words>
  <Characters>17336</Characters>
  <Application>Microsoft Office Word</Application>
  <DocSecurity>0</DocSecurity>
  <Lines>144</Lines>
  <Paragraphs>40</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20337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义山 郭</cp:lastModifiedBy>
  <cp:revision>21</cp:revision>
  <dcterms:created xsi:type="dcterms:W3CDTF">2026-04-27T20:01:00Z</dcterms:created>
  <dcterms:modified xsi:type="dcterms:W3CDTF">2026-04-28T14:17:00Z</dcterms:modified>
</cp:coreProperties>
</file>