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39E8" w14:textId="77777777" w:rsidR="0002138F" w:rsidRPr="00CA2EA1" w:rsidRDefault="0002138F" w:rsidP="00CA2EA1">
      <w:pPr>
        <w:adjustRightInd w:val="0"/>
        <w:snapToGrid w:val="0"/>
        <w:spacing w:after="0" w:line="240" w:lineRule="auto"/>
        <w:jc w:val="center"/>
        <w:outlineLvl w:val="0"/>
        <w:rPr>
          <w:rFonts w:ascii="Times New Roman" w:eastAsia="Times New Roman" w:hAnsi="Times New Roman" w:cs="Times New Roman"/>
          <w:b/>
          <w:bCs/>
          <w:color w:val="000000"/>
          <w:kern w:val="36"/>
          <w:sz w:val="28"/>
          <w:szCs w:val="28"/>
          <w14:ligatures w14:val="none"/>
        </w:rPr>
      </w:pPr>
      <w:r w:rsidRPr="00CA2EA1">
        <w:rPr>
          <w:rFonts w:ascii="Times New Roman" w:eastAsia="Times New Roman" w:hAnsi="Times New Roman" w:cs="Times New Roman"/>
          <w:b/>
          <w:bCs/>
          <w:color w:val="000000"/>
          <w:kern w:val="36"/>
          <w:sz w:val="28"/>
          <w:szCs w:val="28"/>
          <w14:ligatures w14:val="none"/>
        </w:rPr>
        <w:t>EFFECTS OF A GAMIFIED INTERVENTION PROGRAM ON MOTOR COMPETENCE AND FUNDAMENTAL MOVEMENT SKILLS IN EARLY PRIMARY SCHOOL STUDENTS</w:t>
      </w:r>
    </w:p>
    <w:p w14:paraId="6156078B" w14:textId="77777777" w:rsidR="00CA2EA1" w:rsidRPr="00CA2EA1" w:rsidRDefault="00CA2EA1" w:rsidP="00CA2EA1">
      <w:pPr>
        <w:adjustRightInd w:val="0"/>
        <w:snapToGrid w:val="0"/>
        <w:spacing w:after="0" w:line="240" w:lineRule="auto"/>
        <w:jc w:val="center"/>
        <w:outlineLvl w:val="0"/>
        <w:rPr>
          <w:rFonts w:ascii="Times New Roman" w:eastAsia="Times New Roman" w:hAnsi="Times New Roman" w:cs="Times New Roman"/>
          <w:b/>
          <w:bCs/>
          <w:color w:val="000000"/>
          <w:kern w:val="36"/>
          <w:sz w:val="28"/>
          <w:szCs w:val="28"/>
          <w14:ligatures w14:val="none"/>
        </w:rPr>
      </w:pPr>
    </w:p>
    <w:p w14:paraId="525F56DA" w14:textId="77777777" w:rsidR="00CA2EA1" w:rsidRPr="00CA2EA1" w:rsidRDefault="0002138F" w:rsidP="00CA2EA1">
      <w:pPr>
        <w:snapToGrid w:val="0"/>
        <w:spacing w:after="0" w:line="240" w:lineRule="auto"/>
        <w:jc w:val="right"/>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Chen Xin*, Wisute Tongdecharoen, and Suvachai Rittisom</w:t>
      </w:r>
    </w:p>
    <w:p w14:paraId="5A485C09" w14:textId="207F6556" w:rsidR="0002138F" w:rsidRPr="00CA2EA1" w:rsidRDefault="0002138F" w:rsidP="00CA2EA1">
      <w:pPr>
        <w:snapToGrid w:val="0"/>
        <w:spacing w:after="0" w:line="240" w:lineRule="auto"/>
        <w:jc w:val="right"/>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 xml:space="preserve"> Faculty of Sports Science and Technology, Bangkokthonburi University, Thailand </w:t>
      </w:r>
    </w:p>
    <w:p w14:paraId="1459F194" w14:textId="77777777" w:rsidR="00875889" w:rsidRPr="00CA2EA1" w:rsidRDefault="00875889" w:rsidP="00CA2EA1">
      <w:pPr>
        <w:adjustRightInd w:val="0"/>
        <w:snapToGrid w:val="0"/>
        <w:spacing w:after="0" w:line="240" w:lineRule="auto"/>
        <w:outlineLvl w:val="1"/>
        <w:rPr>
          <w:rFonts w:ascii="Times New Roman" w:eastAsia="Times New Roman" w:hAnsi="Times New Roman" w:cs="Times New Roman"/>
          <w:b/>
          <w:bCs/>
          <w:color w:val="000000"/>
          <w:kern w:val="0"/>
          <w:szCs w:val="24"/>
          <w14:ligatures w14:val="none"/>
        </w:rPr>
      </w:pPr>
    </w:p>
    <w:p w14:paraId="738FC428" w14:textId="5AD40F40" w:rsidR="00875889" w:rsidRPr="00CA2EA1" w:rsidRDefault="0002138F" w:rsidP="00CA2EA1">
      <w:pPr>
        <w:adjustRightInd w:val="0"/>
        <w:snapToGrid w:val="0"/>
        <w:spacing w:after="0" w:line="240" w:lineRule="auto"/>
        <w:outlineLvl w:val="1"/>
        <w:rPr>
          <w:rFonts w:ascii="Times New Roman" w:eastAsia="Times New Roman" w:hAnsi="Times New Roman" w:cs="Times New Roman"/>
          <w:b/>
          <w:bCs/>
          <w:color w:val="000000"/>
          <w:kern w:val="0"/>
          <w:sz w:val="28"/>
          <w:szCs w:val="28"/>
          <w14:ligatures w14:val="none"/>
        </w:rPr>
      </w:pPr>
      <w:r w:rsidRPr="00CA2EA1">
        <w:rPr>
          <w:rFonts w:ascii="Times New Roman" w:eastAsia="Times New Roman" w:hAnsi="Times New Roman" w:cs="Times New Roman"/>
          <w:b/>
          <w:bCs/>
          <w:color w:val="000000"/>
          <w:kern w:val="0"/>
          <w:sz w:val="28"/>
          <w:szCs w:val="28"/>
          <w14:ligatures w14:val="none"/>
        </w:rPr>
        <w:t>Abstract</w:t>
      </w:r>
    </w:p>
    <w:p w14:paraId="5F5ADC67" w14:textId="599580BF" w:rsidR="00875889" w:rsidRPr="00CA2EA1" w:rsidRDefault="00875889" w:rsidP="00CA2EA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This study aimed to: (1) determine the efficacy of a 10-week gamified physical education intervention, (2) compare post-intervention FMS outcomes between experimental and control cohorts, and (3) longitudinally track within-group developmental progress across pre-, mid-, and post-test phases.</w:t>
      </w:r>
    </w:p>
    <w:p w14:paraId="3BC64897" w14:textId="6AC04A8D" w:rsidR="00875889" w:rsidRPr="00CA2EA1" w:rsidRDefault="00875889" w:rsidP="00CA2EA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 xml:space="preserve">Utilizing a quasi-experimental, repeated-measures design, 60 early primary students (Grades 1-2) were allocated into experimental (gamified program; n=30) and control (direct instruction; n=30) groups. </w:t>
      </w:r>
      <w:r w:rsidR="00A306AA" w:rsidRPr="00CA2EA1">
        <w:rPr>
          <w:rFonts w:ascii="Times New Roman" w:eastAsia="Times New Roman" w:hAnsi="Times New Roman" w:cs="Times New Roman"/>
          <w:color w:val="000000"/>
          <w:kern w:val="0"/>
          <w:szCs w:val="24"/>
          <w14:ligatures w14:val="none"/>
        </w:rPr>
        <w:t>Motor competence was evaluated using the Test of Gross Motor Development, Third Edition (TGMD-3), which demonstrated excellent inter-rater reliability (ICC = 0.91)</w:t>
      </w:r>
      <w:r w:rsidRPr="00CA2EA1">
        <w:rPr>
          <w:rFonts w:ascii="Times New Roman" w:eastAsia="Times New Roman" w:hAnsi="Times New Roman" w:cs="Times New Roman"/>
          <w:color w:val="000000"/>
          <w:kern w:val="0"/>
          <w:szCs w:val="24"/>
          <w14:ligatures w14:val="none"/>
        </w:rPr>
        <w:t>.Data were analyzed via independent t-tests and repeated measures ANOVA.</w:t>
      </w:r>
      <w:r w:rsidR="00A306AA" w:rsidRPr="00CA2EA1">
        <w:rPr>
          <w:rFonts w:ascii="Times New Roman" w:hAnsi="Times New Roman" w:cs="Times New Roman"/>
          <w:szCs w:val="24"/>
        </w:rPr>
        <w:t xml:space="preserve"> </w:t>
      </w:r>
    </w:p>
    <w:p w14:paraId="42FACF7C" w14:textId="0524E734" w:rsidR="00875889" w:rsidRDefault="00875889" w:rsidP="00CA2EA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The experimental group achieved significantly superior post-intervention outcomes across all locomotor and object control subtests compared to the control group (p &lt; .05), exhibiting exceptionally large effect sizes (Cohen's d &gt; 1.80). Additionally, the experimental cohort demonstrated continuous, statistically significant progressive improvements across the 10-week timeline (Pre-test &lt; Mid-test &lt; Post-test; p &lt; .05).</w:t>
      </w:r>
      <w:r w:rsidR="00CA2EA1">
        <w:rPr>
          <w:rFonts w:ascii="Times New Roman" w:eastAsia="Times New Roman" w:hAnsi="Times New Roman" w:cs="Times New Roman"/>
          <w:color w:val="000000"/>
          <w:kern w:val="0"/>
          <w:szCs w:val="24"/>
          <w14:ligatures w14:val="none"/>
        </w:rPr>
        <w:t xml:space="preserve"> </w:t>
      </w:r>
      <w:r w:rsidRPr="00CA2EA1">
        <w:rPr>
          <w:rFonts w:ascii="Times New Roman" w:eastAsia="Times New Roman" w:hAnsi="Times New Roman" w:cs="Times New Roman"/>
          <w:color w:val="000000"/>
          <w:kern w:val="0"/>
          <w:szCs w:val="24"/>
          <w14:ligatures w14:val="none"/>
        </w:rPr>
        <w:t>Embedding game mechanics into FMS instruction functions as a highly effective pedagogical paradigm. Gamification successfully overcomes proficiency barriers, accelerating foundational motor skill acquisition significantly beyond conventional command-style physical education methods.</w:t>
      </w:r>
    </w:p>
    <w:p w14:paraId="6F71A9D4" w14:textId="77777777" w:rsidR="00CA2EA1" w:rsidRPr="00CA2EA1" w:rsidRDefault="00CA2EA1" w:rsidP="00CA2EA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p>
    <w:p w14:paraId="3FF8C721" w14:textId="1E8162EA" w:rsidR="00C371D5" w:rsidRPr="00CA2EA1" w:rsidRDefault="00875889"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i/>
          <w:iCs/>
          <w:color w:val="000000"/>
          <w:kern w:val="0"/>
          <w:szCs w:val="24"/>
          <w14:ligatures w14:val="none"/>
        </w:rPr>
        <w:t>Keywords:</w:t>
      </w:r>
      <w:r w:rsidRPr="00CA2EA1">
        <w:rPr>
          <w:rFonts w:ascii="Times New Roman" w:eastAsia="Times New Roman" w:hAnsi="Times New Roman" w:cs="Times New Roman"/>
          <w:b/>
          <w:bCs/>
          <w:color w:val="000000"/>
          <w:kern w:val="0"/>
          <w:szCs w:val="24"/>
          <w14:ligatures w14:val="none"/>
        </w:rPr>
        <w:t xml:space="preserve"> </w:t>
      </w:r>
      <w:r w:rsidRPr="00CA2EA1">
        <w:rPr>
          <w:rFonts w:ascii="Times New Roman" w:eastAsia="Times New Roman" w:hAnsi="Times New Roman" w:cs="Times New Roman"/>
          <w:color w:val="000000"/>
          <w:kern w:val="0"/>
          <w:szCs w:val="24"/>
          <w14:ligatures w14:val="none"/>
        </w:rPr>
        <w:t>Gamification, Motor Competence, Fundamental Movement Skills, Physical Education Pedagogy, TGMD-3</w:t>
      </w:r>
    </w:p>
    <w:p w14:paraId="0BA1D39E" w14:textId="77777777" w:rsidR="00A306AA" w:rsidRDefault="00A306AA"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47765BE1"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4603A732"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3D283253"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34809FA3"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4B397E29"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470FB06B"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6CB8B5B4"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2A944A01"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7B95D9CB"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lang w:eastAsia="zh-CN"/>
          <w14:ligatures w14:val="none"/>
        </w:rPr>
      </w:pPr>
    </w:p>
    <w:p w14:paraId="0E5FE0B1"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lang w:eastAsia="zh-CN"/>
          <w14:ligatures w14:val="none"/>
        </w:rPr>
      </w:pPr>
    </w:p>
    <w:p w14:paraId="7E6FE2FA"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lang w:eastAsia="zh-CN"/>
          <w14:ligatures w14:val="none"/>
        </w:rPr>
      </w:pPr>
    </w:p>
    <w:p w14:paraId="762CF707"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lang w:eastAsia="zh-CN"/>
          <w14:ligatures w14:val="none"/>
        </w:rPr>
      </w:pPr>
    </w:p>
    <w:p w14:paraId="4AE84E38" w14:textId="77777777" w:rsidR="00CA2EA1" w:rsidRDefault="00CA2EA1" w:rsidP="00CA2EA1">
      <w:pPr>
        <w:adjustRightInd w:val="0"/>
        <w:snapToGrid w:val="0"/>
        <w:spacing w:after="0" w:line="240" w:lineRule="auto"/>
        <w:jc w:val="both"/>
        <w:rPr>
          <w:rFonts w:ascii="Times New Roman" w:eastAsia="Times New Roman" w:hAnsi="Times New Roman" w:cs="Times New Roman" w:hint="eastAsia"/>
          <w:color w:val="000000"/>
          <w:kern w:val="0"/>
          <w:szCs w:val="24"/>
          <w:lang w:eastAsia="zh-CN"/>
          <w14:ligatures w14:val="none"/>
        </w:rPr>
      </w:pPr>
    </w:p>
    <w:p w14:paraId="7AD5718B"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5082067C"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1B46A174" w14:textId="77777777" w:rsidR="00CA2EA1" w:rsidRDefault="00CA2EA1" w:rsidP="00CA2EA1">
      <w:pPr>
        <w:adjustRightInd w:val="0"/>
        <w:snapToGrid w:val="0"/>
        <w:spacing w:after="0" w:line="240" w:lineRule="auto"/>
        <w:jc w:val="both"/>
        <w:rPr>
          <w:rFonts w:ascii="Times New Roman" w:eastAsia="Times New Roman" w:hAnsi="Times New Roman" w:cs="Times New Roman" w:hint="eastAsia"/>
          <w:color w:val="000000"/>
          <w:kern w:val="0"/>
          <w:szCs w:val="24"/>
          <w:lang w:eastAsia="zh-CN"/>
          <w14:ligatures w14:val="none"/>
        </w:rPr>
      </w:pPr>
    </w:p>
    <w:p w14:paraId="016BB02F"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5029EFEF" w14:textId="77777777" w:rsid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6FA17FAC" w14:textId="77777777" w:rsidR="00CA2EA1" w:rsidRPr="00CA2EA1" w:rsidRDefault="00CA2EA1" w:rsidP="00CA2EA1">
      <w:pPr>
        <w:adjustRightInd w:val="0"/>
        <w:snapToGrid w:val="0"/>
        <w:spacing w:after="0" w:line="240" w:lineRule="auto"/>
        <w:jc w:val="both"/>
        <w:rPr>
          <w:rFonts w:ascii="Times New Roman" w:eastAsia="Times New Roman" w:hAnsi="Times New Roman" w:cs="Times New Roman"/>
          <w:color w:val="000000"/>
          <w:kern w:val="0"/>
          <w:szCs w:val="24"/>
          <w14:ligatures w14:val="none"/>
        </w:rPr>
      </w:pPr>
    </w:p>
    <w:p w14:paraId="16FC1C33" w14:textId="37FAE1D3" w:rsidR="0002138F" w:rsidRPr="00CA2EA1" w:rsidRDefault="00875889" w:rsidP="00CA2EA1">
      <w:pPr>
        <w:pBdr>
          <w:top w:val="single" w:sz="4" w:space="1" w:color="auto"/>
        </w:pBdr>
        <w:adjustRightInd w:val="0"/>
        <w:snapToGrid w:val="0"/>
        <w:spacing w:after="0" w:line="240" w:lineRule="auto"/>
        <w:jc w:val="both"/>
        <w:rPr>
          <w:rFonts w:ascii="Times New Roman" w:eastAsia="Times New Roman" w:hAnsi="Times New Roman" w:cs="Times New Roman" w:hint="eastAsia"/>
          <w:i/>
          <w:iCs/>
          <w:color w:val="000000"/>
          <w:kern w:val="0"/>
          <w:sz w:val="21"/>
          <w:szCs w:val="21"/>
          <w14:ligatures w14:val="none"/>
        </w:rPr>
      </w:pPr>
      <w:r w:rsidRPr="00CA2EA1">
        <w:rPr>
          <w:rFonts w:ascii="Times New Roman" w:eastAsia="Times New Roman" w:hAnsi="Times New Roman" w:cs="Times New Roman"/>
          <w:i/>
          <w:iCs/>
          <w:color w:val="000000"/>
          <w:kern w:val="0"/>
          <w:sz w:val="21"/>
          <w:szCs w:val="21"/>
          <w14:ligatures w14:val="none"/>
        </w:rPr>
        <w:t>Corresponding Author: Chen Xin, Faculty of Sports Science and Technology, Bangkokthonburi University, Thailand.</w:t>
      </w:r>
      <w:r w:rsidR="00CA2EA1" w:rsidRPr="00CA2EA1">
        <w:rPr>
          <w:rFonts w:cs="Times New Roman"/>
          <w:i/>
          <w:iCs/>
          <w:color w:val="000000" w:themeColor="text1"/>
          <w:sz w:val="21"/>
          <w:szCs w:val="21"/>
        </w:rPr>
        <w:t xml:space="preserve"> </w:t>
      </w:r>
      <w:r w:rsidR="00CA2EA1" w:rsidRPr="00CA2EA1">
        <w:rPr>
          <w:rFonts w:cs="Times New Roman"/>
          <w:i/>
          <w:iCs/>
          <w:color w:val="000000" w:themeColor="text1"/>
          <w:sz w:val="21"/>
          <w:szCs w:val="21"/>
        </w:rPr>
        <w:t>Email: chinkin518@gmail.com</w:t>
      </w:r>
    </w:p>
    <w:p w14:paraId="5EF5C0FE" w14:textId="1337A49A" w:rsidR="0002138F" w:rsidRPr="00CA2EA1" w:rsidRDefault="0002138F" w:rsidP="00CA2EA1">
      <w:pPr>
        <w:adjustRightInd w:val="0"/>
        <w:snapToGrid w:val="0"/>
        <w:spacing w:after="0" w:line="240" w:lineRule="auto"/>
        <w:jc w:val="both"/>
        <w:outlineLvl w:val="1"/>
        <w:rPr>
          <w:rFonts w:ascii="Times New Roman" w:eastAsia="Times New Roman" w:hAnsi="Times New Roman" w:cs="Times New Roman"/>
          <w:b/>
          <w:bCs/>
          <w:color w:val="000000"/>
          <w:kern w:val="0"/>
          <w:sz w:val="28"/>
          <w:szCs w:val="28"/>
          <w14:ligatures w14:val="none"/>
        </w:rPr>
      </w:pPr>
      <w:r w:rsidRPr="00CA2EA1">
        <w:rPr>
          <w:rFonts w:ascii="Times New Roman" w:eastAsia="Times New Roman" w:hAnsi="Times New Roman" w:cs="Times New Roman"/>
          <w:b/>
          <w:bCs/>
          <w:color w:val="000000"/>
          <w:kern w:val="0"/>
          <w:sz w:val="28"/>
          <w:szCs w:val="28"/>
          <w14:ligatures w14:val="none"/>
        </w:rPr>
        <w:lastRenderedPageBreak/>
        <w:t>Introduction</w:t>
      </w:r>
    </w:p>
    <w:p w14:paraId="572D6A83" w14:textId="77777777" w:rsidR="002C1819" w:rsidRPr="00CA2EA1" w:rsidRDefault="002C1819" w:rsidP="00CA2EA1">
      <w:pPr>
        <w:adjustRightInd w:val="0"/>
        <w:snapToGrid w:val="0"/>
        <w:spacing w:after="0" w:line="240" w:lineRule="auto"/>
        <w:ind w:firstLine="720"/>
        <w:jc w:val="both"/>
        <w:outlineLvl w:val="1"/>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The acquisition of Fundamental Movement Skills (FMS) during early childhood (ages 6–8) constitutes the critical physiological foundation for lifelong physical literacy and sustained neuromotor competence (Hulteen et al., 2018). According to contemporary developmental trajectory models, failing to achieve FMS proficiency establishes a restrictive "proficiency barrier," which significantly elevates the risk of physical inactivity and motor developmental delays in early primary school students (Barnett et al., 2016). Despite this criticality, modern physical education (PE) ecosystems face a pervasive pedagogical problem: an overreliance on traditional, direct-instruction paradigms. Analyzed through the lens of Ecological Dynamics and constraints-led approaches, these reductionist, drill-centric methodologies isolate movement kinematics from cognitive and affective engagement (Chow et al., 2021). Consequently, such linear pedagogical models precipitate cognitive fatigue, diminish intrinsic motivation, and ultimately result in suboptimal FMS acquisition among early learners (Renshaw et al., 2019).</w:t>
      </w:r>
    </w:p>
    <w:p w14:paraId="59E501CF" w14:textId="22129049" w:rsidR="002C1819" w:rsidRPr="00CA2EA1" w:rsidRDefault="002C1819" w:rsidP="002C1819">
      <w:pPr>
        <w:adjustRightInd w:val="0"/>
        <w:snapToGrid w:val="0"/>
        <w:spacing w:after="0" w:line="240" w:lineRule="auto"/>
        <w:ind w:firstLine="720"/>
        <w:jc w:val="both"/>
        <w:outlineLvl w:val="1"/>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To transcend these structural limitations and optimize neuromotor adaptation, PE scholars increasingly advocate for non-linear pedagogical innovations, most notably gamification. Grounded theoretically in Self-Determination Theory (SDT), gamification synthesizes game design mechanics such as narrative arcs, progressive leveling, and immediate reward systems into authentic physical tasks to satisfy learners' basic psychological needs for autonomy, competence, and relatedness (Vansteenkiste et al., 2020). By transmuting monotonous repetitions into purposeful, intrinsically motivating "quests," this problem-solving pedagogical architecture systematically amplifies deliberate practice and optimizes kinematic sequencing without the necessity of digital screens (Fernandez-Rio et al., 2020).</w:t>
      </w:r>
    </w:p>
    <w:p w14:paraId="124CE9EA" w14:textId="3D3604DB" w:rsidR="002C1819" w:rsidRPr="00CA2EA1" w:rsidRDefault="002C1819" w:rsidP="002C1819">
      <w:pPr>
        <w:adjustRightInd w:val="0"/>
        <w:snapToGrid w:val="0"/>
        <w:spacing w:after="0" w:line="240" w:lineRule="auto"/>
        <w:ind w:firstLine="720"/>
        <w:jc w:val="both"/>
        <w:outlineLvl w:val="1"/>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Despite these robust theoretical affordances, a prominent research gap persists in the current literature. While recent scholarship extensively documents the efficacy of digital exergaming, empirical investigations operationalizing analog (non-digital) gamification to directly enhance FMS in authentic PE environments remain remarkably sparse (Sailer &amp; Homner, 2020). Furthermore, the longitudinal validation of these specific gamified developmental trajectories utilizing internationally recognized, biomechanical instruments such as the Test of Gross Motor Development, Third Edition (TGMD-3) has not been adequately established in early primary cohorts (Ulrich, 2019).</w:t>
      </w:r>
    </w:p>
    <w:p w14:paraId="2BB66FC7" w14:textId="77777777" w:rsidR="002C1819" w:rsidRPr="00CA2EA1" w:rsidRDefault="002C1819" w:rsidP="002C1819">
      <w:pPr>
        <w:adjustRightInd w:val="0"/>
        <w:snapToGrid w:val="0"/>
        <w:spacing w:after="0" w:line="240" w:lineRule="auto"/>
        <w:ind w:firstLine="720"/>
        <w:jc w:val="both"/>
        <w:outlineLvl w:val="1"/>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Consequently, this study seeks to bridge this multifaceted empirical void. The research aims to definitively answer whether a 10-week analog gamified pedagogical architecture can successfully mitigate proficiency barriers and accelerate both locomotor and object control skill acquisition. Ultimately, this investigation addresses the critical research gap by evaluating if gamified physical education can yield longitudinal motor development significantly beyond the efficacy of conventional command-style instruction.</w:t>
      </w:r>
    </w:p>
    <w:p w14:paraId="3BF9271E" w14:textId="77777777" w:rsidR="0002138F" w:rsidRPr="00CA2EA1" w:rsidRDefault="0002138F"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023C39BA" w14:textId="6D1A1CC7" w:rsidR="0002138F" w:rsidRPr="00CA2EA1" w:rsidRDefault="0002138F" w:rsidP="0002138F">
      <w:pPr>
        <w:adjustRightInd w:val="0"/>
        <w:snapToGrid w:val="0"/>
        <w:spacing w:after="0" w:line="240" w:lineRule="auto"/>
        <w:jc w:val="both"/>
        <w:outlineLvl w:val="1"/>
        <w:rPr>
          <w:rFonts w:ascii="Times New Roman" w:eastAsia="Times New Roman" w:hAnsi="Times New Roman" w:cs="Times New Roman"/>
          <w:b/>
          <w:bCs/>
          <w:color w:val="000000"/>
          <w:kern w:val="0"/>
          <w:sz w:val="28"/>
          <w:szCs w:val="28"/>
          <w14:ligatures w14:val="none"/>
        </w:rPr>
      </w:pPr>
      <w:r w:rsidRPr="00CA2EA1">
        <w:rPr>
          <w:rFonts w:ascii="Times New Roman" w:eastAsia="Times New Roman" w:hAnsi="Times New Roman" w:cs="Times New Roman"/>
          <w:b/>
          <w:bCs/>
          <w:color w:val="000000"/>
          <w:kern w:val="0"/>
          <w:sz w:val="28"/>
          <w:szCs w:val="28"/>
          <w14:ligatures w14:val="none"/>
        </w:rPr>
        <w:t>Research Objectives</w:t>
      </w:r>
    </w:p>
    <w:p w14:paraId="5B7F44D3" w14:textId="77777777" w:rsidR="0002138F" w:rsidRPr="00CA2EA1" w:rsidRDefault="0002138F" w:rsidP="00CA2EA1">
      <w:pPr>
        <w:numPr>
          <w:ilvl w:val="0"/>
          <w:numId w:val="1"/>
        </w:numPr>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To determine the efficacy of the developed gamified physical education intervention program in enhancing motor competence (6 locomotor and 7 object control skills) among early primary school students.</w:t>
      </w:r>
    </w:p>
    <w:p w14:paraId="3C802B98" w14:textId="77777777" w:rsidR="0002138F" w:rsidRPr="00CA2EA1" w:rsidRDefault="0002138F" w:rsidP="00CA2EA1">
      <w:pPr>
        <w:numPr>
          <w:ilvl w:val="0"/>
          <w:numId w:val="1"/>
        </w:numPr>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To compare post-intervention motor competence outcomes between the cohort receiving the gamified intervention (experimental group) and the cohort receiving traditional instruction (control group).</w:t>
      </w:r>
    </w:p>
    <w:p w14:paraId="1C154801" w14:textId="77777777" w:rsidR="0002138F" w:rsidRPr="00CA2EA1" w:rsidRDefault="0002138F" w:rsidP="00CA2EA1">
      <w:pPr>
        <w:numPr>
          <w:ilvl w:val="0"/>
          <w:numId w:val="1"/>
        </w:numPr>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To longitudinally compare the developmental trajectory of fundamental movement skills within the experimental group across pre-test, mid-test, and post-test assessment phases.</w:t>
      </w:r>
    </w:p>
    <w:p w14:paraId="40BB1762" w14:textId="77777777" w:rsidR="00C42504" w:rsidRDefault="00C42504"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lang w:eastAsia="zh-CN"/>
          <w14:ligatures w14:val="none"/>
        </w:rPr>
      </w:pPr>
    </w:p>
    <w:p w14:paraId="5F338D07" w14:textId="77777777" w:rsidR="00CA2EA1" w:rsidRDefault="00CA2EA1"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lang w:eastAsia="zh-CN"/>
          <w14:ligatures w14:val="none"/>
        </w:rPr>
      </w:pPr>
    </w:p>
    <w:p w14:paraId="02A7CFB7" w14:textId="77777777" w:rsidR="00CA2EA1" w:rsidRDefault="00CA2EA1"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lang w:eastAsia="zh-CN"/>
          <w14:ligatures w14:val="none"/>
        </w:rPr>
      </w:pPr>
    </w:p>
    <w:p w14:paraId="576C38C1" w14:textId="77777777" w:rsidR="00CA2EA1" w:rsidRDefault="00CA2EA1"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lang w:eastAsia="zh-CN"/>
          <w14:ligatures w14:val="none"/>
        </w:rPr>
      </w:pPr>
    </w:p>
    <w:p w14:paraId="01950128" w14:textId="77777777" w:rsidR="00CA2EA1" w:rsidRPr="00CA2EA1" w:rsidRDefault="00CA2EA1" w:rsidP="0002138F">
      <w:pPr>
        <w:adjustRightInd w:val="0"/>
        <w:snapToGrid w:val="0"/>
        <w:spacing w:after="0" w:line="240" w:lineRule="auto"/>
        <w:jc w:val="both"/>
        <w:outlineLvl w:val="1"/>
        <w:rPr>
          <w:rFonts w:ascii="Times New Roman" w:eastAsia="Times New Roman" w:hAnsi="Times New Roman" w:cs="Times New Roman" w:hint="eastAsia"/>
          <w:b/>
          <w:bCs/>
          <w:color w:val="000000"/>
          <w:kern w:val="0"/>
          <w:szCs w:val="24"/>
          <w:lang w:eastAsia="zh-CN"/>
          <w14:ligatures w14:val="none"/>
        </w:rPr>
      </w:pPr>
    </w:p>
    <w:p w14:paraId="77780369" w14:textId="4D0DA724" w:rsidR="0002138F" w:rsidRPr="00CA2EA1" w:rsidRDefault="0002138F" w:rsidP="0002138F">
      <w:pPr>
        <w:adjustRightInd w:val="0"/>
        <w:snapToGrid w:val="0"/>
        <w:spacing w:after="0" w:line="240" w:lineRule="auto"/>
        <w:jc w:val="both"/>
        <w:outlineLvl w:val="1"/>
        <w:rPr>
          <w:rFonts w:ascii="Times New Roman" w:eastAsia="Times New Roman" w:hAnsi="Times New Roman" w:cs="Times New Roman"/>
          <w:b/>
          <w:bCs/>
          <w:color w:val="000000"/>
          <w:kern w:val="0"/>
          <w:sz w:val="28"/>
          <w:szCs w:val="28"/>
          <w14:ligatures w14:val="none"/>
        </w:rPr>
      </w:pPr>
      <w:r w:rsidRPr="00CA2EA1">
        <w:rPr>
          <w:rFonts w:ascii="Times New Roman" w:eastAsia="Times New Roman" w:hAnsi="Times New Roman" w:cs="Times New Roman"/>
          <w:b/>
          <w:bCs/>
          <w:color w:val="000000"/>
          <w:kern w:val="0"/>
          <w:sz w:val="28"/>
          <w:szCs w:val="28"/>
          <w14:ligatures w14:val="none"/>
        </w:rPr>
        <w:lastRenderedPageBreak/>
        <w:t>Research Hypotheses</w:t>
      </w:r>
    </w:p>
    <w:p w14:paraId="5227C410" w14:textId="77777777" w:rsidR="0002138F" w:rsidRPr="00CA2EA1" w:rsidRDefault="0002138F" w:rsidP="00CA2EA1">
      <w:pPr>
        <w:numPr>
          <w:ilvl w:val="0"/>
          <w:numId w:val="2"/>
        </w:numPr>
        <w:tabs>
          <w:tab w:val="left" w:pos="0"/>
          <w:tab w:val="left" w:pos="993"/>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Early primary school students participating in the gamified physical education program (experimental group) will demonstrate significantly higher post-intervention scores across overall motor competence, locomotor skills, and object control skills compared to students instructed via traditional methods (control group) at the .05 level of significance.</w:t>
      </w:r>
    </w:p>
    <w:p w14:paraId="5A996976" w14:textId="77777777" w:rsidR="0002138F" w:rsidRPr="00CA2EA1" w:rsidRDefault="0002138F" w:rsidP="00CA2EA1">
      <w:pPr>
        <w:numPr>
          <w:ilvl w:val="0"/>
          <w:numId w:val="2"/>
        </w:numPr>
        <w:tabs>
          <w:tab w:val="left" w:pos="0"/>
          <w:tab w:val="left" w:pos="993"/>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Students in the experimental group will exhibit a continuous and significant progressive improvement in motor competence, with post-test scores significantly exceeding mid-test scores, and mid-test scores significantly exceeding pre-test scores at the .05 level of significance.</w:t>
      </w:r>
    </w:p>
    <w:p w14:paraId="6DE1D229" w14:textId="77777777" w:rsidR="002C1819" w:rsidRPr="00CA2EA1" w:rsidRDefault="002C1819"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4A6FB0EE" w14:textId="5D5FD4D9" w:rsidR="0002138F" w:rsidRPr="00CA2EA1" w:rsidRDefault="0002138F" w:rsidP="0002138F">
      <w:pPr>
        <w:adjustRightInd w:val="0"/>
        <w:snapToGrid w:val="0"/>
        <w:spacing w:after="0" w:line="240" w:lineRule="auto"/>
        <w:jc w:val="both"/>
        <w:outlineLvl w:val="1"/>
        <w:rPr>
          <w:rFonts w:ascii="Times New Roman" w:eastAsia="Times New Roman" w:hAnsi="Times New Roman" w:cs="Times New Roman"/>
          <w:b/>
          <w:bCs/>
          <w:color w:val="000000"/>
          <w:kern w:val="0"/>
          <w:sz w:val="28"/>
          <w:szCs w:val="28"/>
          <w14:ligatures w14:val="none"/>
        </w:rPr>
      </w:pPr>
      <w:r w:rsidRPr="00CA2EA1">
        <w:rPr>
          <w:rFonts w:ascii="Times New Roman" w:eastAsia="Times New Roman" w:hAnsi="Times New Roman" w:cs="Times New Roman"/>
          <w:b/>
          <w:bCs/>
          <w:color w:val="000000"/>
          <w:kern w:val="0"/>
          <w:sz w:val="28"/>
          <w:szCs w:val="28"/>
          <w14:ligatures w14:val="none"/>
        </w:rPr>
        <w:t>Research Methodology</w:t>
      </w:r>
    </w:p>
    <w:p w14:paraId="5CD15DC0" w14:textId="727A5F59" w:rsidR="002C1819" w:rsidRPr="00CA2EA1" w:rsidRDefault="002C1819" w:rsidP="00CA2EA1">
      <w:pPr>
        <w:pStyle w:val="NormalWeb"/>
        <w:adjustRightInd w:val="0"/>
        <w:snapToGrid w:val="0"/>
        <w:spacing w:before="0" w:beforeAutospacing="0" w:after="0" w:afterAutospacing="0"/>
        <w:ind w:firstLine="567"/>
        <w:jc w:val="both"/>
        <w:rPr>
          <w:color w:val="000000"/>
        </w:rPr>
      </w:pPr>
      <w:r w:rsidRPr="00CA2EA1">
        <w:rPr>
          <w:color w:val="000000"/>
        </w:rPr>
        <w:t>This quantitative, quasi-experimental study utilized a non-equivalent control group, repeated-measures design (pre-test, mid-test, post-test) to maximize validity. Adhering strictly to the Declaration of Helsinki, the research protocol was formally approved by the Institutional Review Board of Bangkokthonburi University</w:t>
      </w:r>
      <w:r w:rsidRPr="00CA2EA1">
        <w:rPr>
          <w:rStyle w:val="apple-converted-space"/>
          <w:rFonts w:eastAsiaTheme="majorEastAsia"/>
          <w:color w:val="000000"/>
        </w:rPr>
        <w:t> </w:t>
      </w:r>
      <w:r w:rsidRPr="00CA2EA1">
        <w:rPr>
          <w:rStyle w:val="Strong"/>
          <w:rFonts w:eastAsiaTheme="majorEastAsia"/>
          <w:b w:val="0"/>
          <w:bCs w:val="0"/>
          <w:color w:val="000000"/>
        </w:rPr>
        <w:t>(Approval No.: 2568</w:t>
      </w:r>
      <w:r w:rsidRPr="00CA2EA1">
        <w:rPr>
          <w:rStyle w:val="Strong"/>
          <w:rFonts w:eastAsiaTheme="majorEastAsia"/>
          <w:b w:val="0"/>
          <w:bCs w:val="0"/>
          <w:color w:val="000000"/>
          <w:cs/>
        </w:rPr>
        <w:t>/</w:t>
      </w:r>
      <w:r w:rsidRPr="00CA2EA1">
        <w:rPr>
          <w:rStyle w:val="Strong"/>
          <w:rFonts w:eastAsiaTheme="majorEastAsia"/>
          <w:b w:val="0"/>
          <w:bCs w:val="0"/>
          <w:color w:val="000000"/>
          <w:lang w:val="en-US"/>
        </w:rPr>
        <w:t>361(4)</w:t>
      </w:r>
      <w:r w:rsidRPr="00CA2EA1">
        <w:rPr>
          <w:rStyle w:val="Strong"/>
          <w:rFonts w:eastAsiaTheme="majorEastAsia"/>
          <w:b w:val="0"/>
          <w:bCs w:val="0"/>
          <w:color w:val="000000"/>
        </w:rPr>
        <w:t>; October 20, 2025)</w:t>
      </w:r>
      <w:r w:rsidRPr="00CA2EA1">
        <w:rPr>
          <w:b/>
          <w:bCs/>
          <w:color w:val="000000"/>
        </w:rPr>
        <w:t>.</w:t>
      </w:r>
      <w:r w:rsidRPr="00CA2EA1">
        <w:rPr>
          <w:color w:val="000000"/>
        </w:rPr>
        <w:t xml:space="preserve"> Prior to the intervention, researchers briefed students and legal guardians on the study's objectives, procedures, and risks, securing formal written informed consent. Participants maintained the right to withdraw at any time without penalty. All collected data were strictly anonymized and aggregated exclusively for academic dissemination, ensuring complete ethical compliance.</w:t>
      </w:r>
    </w:p>
    <w:p w14:paraId="63A15A49" w14:textId="29A7EEB9" w:rsidR="0002138F" w:rsidRPr="00CA2EA1" w:rsidRDefault="0002138F" w:rsidP="00CA2EA1">
      <w:pPr>
        <w:adjustRightInd w:val="0"/>
        <w:snapToGrid w:val="0"/>
        <w:spacing w:after="0" w:line="240" w:lineRule="auto"/>
        <w:ind w:firstLine="567"/>
        <w:jc w:val="both"/>
        <w:outlineLvl w:val="2"/>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Population and Sample</w:t>
      </w:r>
    </w:p>
    <w:p w14:paraId="401180DB" w14:textId="003D2A45" w:rsidR="0002138F" w:rsidRPr="001B7BB1" w:rsidRDefault="0002138F" w:rsidP="00CA2EA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Population: </w:t>
      </w:r>
      <w:r w:rsidR="005F3D12" w:rsidRPr="001B7BB1">
        <w:rPr>
          <w:rFonts w:ascii="Times New Roman" w:eastAsia="Times New Roman" w:hAnsi="Times New Roman" w:cs="Times New Roman"/>
          <w:color w:val="000000"/>
          <w:kern w:val="0"/>
          <w:szCs w:val="24"/>
          <w14:ligatures w14:val="none"/>
        </w:rPr>
        <w:t>A total of 60 early primary school students (e.g., 32 males, 28 females; mean age 7.2 ± 0.6 years) from a public primary school in Guangzhou, China</w:t>
      </w:r>
      <w:r w:rsidR="005F3D12" w:rsidRPr="001B7BB1">
        <w:rPr>
          <w:rFonts w:ascii="Times New Roman" w:eastAsia="Times New Roman" w:hAnsi="Times New Roman" w:cs="Times New Roman"/>
          <w:color w:val="000000"/>
          <w:kern w:val="0"/>
          <w:szCs w:val="24"/>
          <w:lang w:val="en-US"/>
          <w14:ligatures w14:val="none"/>
        </w:rPr>
        <w:t>,</w:t>
      </w:r>
      <w:r w:rsidR="005F3D12" w:rsidRPr="001B7BB1">
        <w:rPr>
          <w:rFonts w:ascii="Times New Roman" w:eastAsia="Times New Roman" w:hAnsi="Times New Roman" w:cs="Times New Roman"/>
          <w:color w:val="000000"/>
          <w:kern w:val="0"/>
          <w:szCs w:val="24"/>
          <w:cs/>
          <w14:ligatures w14:val="none"/>
        </w:rPr>
        <w:t xml:space="preserve"> </w:t>
      </w:r>
      <w:r w:rsidRPr="001B7BB1">
        <w:rPr>
          <w:rFonts w:ascii="Times New Roman" w:eastAsia="Times New Roman" w:hAnsi="Times New Roman" w:cs="Times New Roman"/>
          <w:color w:val="000000"/>
          <w:kern w:val="0"/>
          <w:szCs w:val="24"/>
          <w14:ligatures w14:val="none"/>
        </w:rPr>
        <w:t>during the 2025 academic year. This specific developmental stage represents the physiological peak for sensory integration and neuromuscular plasticity essential for foundational skill absorption.</w:t>
      </w:r>
    </w:p>
    <w:p w14:paraId="7A891F55" w14:textId="77777777" w:rsidR="0002138F" w:rsidRPr="001B7BB1" w:rsidRDefault="0002138F" w:rsidP="00CA2EA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Sample: A priori power analysis conducted via G*Power 3.1 (Effect Size = 0.80, Alpha = .05, Power = .80) indicated a minimum required sample of 52 participants. The researchers employed purposive sampling to select intact classrooms with comparable socio-educational contexts, yielding 60 students. These classrooms were subsequently randomized via a lottery method into an experimental group (n=30) and a control group (n=30).</w:t>
      </w:r>
    </w:p>
    <w:p w14:paraId="27F2E440" w14:textId="77777777" w:rsidR="00CA2EA1" w:rsidRDefault="0002138F" w:rsidP="00CA2EA1">
      <w:pPr>
        <w:adjustRightInd w:val="0"/>
        <w:snapToGrid w:val="0"/>
        <w:spacing w:after="0" w:line="240" w:lineRule="auto"/>
        <w:ind w:firstLine="567"/>
        <w:jc w:val="both"/>
        <w:rPr>
          <w:rFonts w:ascii="Times New Roman" w:eastAsia="Times New Roman" w:hAnsi="Times New Roman" w:cs="Times New Roman"/>
          <w:color w:val="000000"/>
          <w:kern w:val="0"/>
          <w:szCs w:val="24"/>
          <w:lang w:eastAsia="zh-CN"/>
          <w14:ligatures w14:val="none"/>
        </w:rPr>
      </w:pPr>
      <w:r w:rsidRPr="001B7BB1">
        <w:rPr>
          <w:rFonts w:ascii="Times New Roman" w:eastAsia="Times New Roman" w:hAnsi="Times New Roman" w:cs="Times New Roman"/>
          <w:color w:val="000000"/>
          <w:kern w:val="0"/>
          <w:szCs w:val="24"/>
          <w14:ligatures w14:val="none"/>
        </w:rPr>
        <w:t>Inclusion Criteria: Participants were required to be free from any physical or neurological impairments affecting motor</w:t>
      </w:r>
      <w:r w:rsidRPr="00CA2EA1">
        <w:rPr>
          <w:rFonts w:ascii="Times New Roman" w:eastAsia="Times New Roman" w:hAnsi="Times New Roman" w:cs="Times New Roman"/>
          <w:color w:val="000000"/>
          <w:kern w:val="0"/>
          <w:szCs w:val="24"/>
          <w14:ligatures w14:val="none"/>
        </w:rPr>
        <w:t xml:space="preserve"> execution, and their parents/guardians must have provided signed informed consent.</w:t>
      </w:r>
    </w:p>
    <w:p w14:paraId="16FD1ED2" w14:textId="77777777" w:rsidR="00CA2EA1" w:rsidRDefault="0002138F" w:rsidP="00CA2EA1">
      <w:pPr>
        <w:adjustRightInd w:val="0"/>
        <w:snapToGrid w:val="0"/>
        <w:spacing w:after="0" w:line="240" w:lineRule="auto"/>
        <w:ind w:firstLine="567"/>
        <w:jc w:val="both"/>
        <w:rPr>
          <w:rFonts w:ascii="Times New Roman" w:eastAsia="Times New Roman" w:hAnsi="Times New Roman" w:cs="Times New Roman"/>
          <w:color w:val="000000"/>
          <w:kern w:val="0"/>
          <w:szCs w:val="24"/>
          <w:lang w:eastAsia="zh-CN"/>
          <w14:ligatures w14:val="none"/>
        </w:rPr>
      </w:pPr>
      <w:r w:rsidRPr="00CA2EA1">
        <w:rPr>
          <w:rFonts w:ascii="Times New Roman" w:eastAsia="Times New Roman" w:hAnsi="Times New Roman" w:cs="Times New Roman"/>
          <w:b/>
          <w:bCs/>
          <w:color w:val="000000"/>
          <w:kern w:val="0"/>
          <w:szCs w:val="24"/>
          <w14:ligatures w14:val="none"/>
        </w:rPr>
        <w:t>Research Instruments</w:t>
      </w:r>
    </w:p>
    <w:p w14:paraId="44716CC6" w14:textId="77777777" w:rsidR="00CA2EA1" w:rsidRPr="00CA2EA1" w:rsidRDefault="0002138F" w:rsidP="0002138F">
      <w:pPr>
        <w:pStyle w:val="ListParagraph"/>
        <w:numPr>
          <w:ilvl w:val="0"/>
          <w:numId w:val="15"/>
        </w:numPr>
        <w:adjustRightInd w:val="0"/>
        <w:snapToGrid w:val="0"/>
        <w:spacing w:after="0" w:line="240" w:lineRule="auto"/>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Experimental Instruments (Independent Variables)</w:t>
      </w:r>
    </w:p>
    <w:p w14:paraId="525FB3F0" w14:textId="77777777" w:rsidR="00CA2EA1" w:rsidRDefault="0002138F" w:rsidP="00CA2EA1">
      <w:pPr>
        <w:adjustRightInd w:val="0"/>
        <w:snapToGrid w:val="0"/>
        <w:spacing w:after="0" w:line="240" w:lineRule="auto"/>
        <w:ind w:firstLine="938"/>
        <w:jc w:val="both"/>
        <w:rPr>
          <w:rFonts w:ascii="Times New Roman" w:eastAsia="Times New Roman" w:hAnsi="Times New Roman" w:cs="Times New Roman"/>
          <w:color w:val="000000"/>
          <w:kern w:val="0"/>
          <w:szCs w:val="24"/>
          <w:lang w:eastAsia="zh-CN"/>
          <w14:ligatures w14:val="none"/>
        </w:rPr>
      </w:pPr>
      <w:r w:rsidRPr="001B7BB1">
        <w:rPr>
          <w:rFonts w:ascii="Times New Roman" w:eastAsia="Times New Roman" w:hAnsi="Times New Roman" w:cs="Times New Roman"/>
          <w:color w:val="000000"/>
          <w:kern w:val="0"/>
          <w:szCs w:val="24"/>
          <w14:ligatures w14:val="none"/>
        </w:rPr>
        <w:t>Experimental Group:  Gamified Intervention Program (A 10-week ,2 sessions/week, 50 minutes/session). This program systematically</w:t>
      </w:r>
      <w:r w:rsidRPr="00CA2EA1">
        <w:rPr>
          <w:rFonts w:ascii="Times New Roman" w:eastAsia="Times New Roman" w:hAnsi="Times New Roman" w:cs="Times New Roman"/>
          <w:color w:val="000000"/>
          <w:kern w:val="0"/>
          <w:szCs w:val="24"/>
          <w14:ligatures w14:val="none"/>
        </w:rPr>
        <w:t xml:space="preserve"> transmuted repetitive drills into narrative-driven "Quests." For instance, rather than instructing a child to throw a ball against a wall ten times, the pedagogy utilized a narrative where students acted as "Space Knights" throwing energy spheres to defend a base. The program utilized "Progress Charts" and awarded "Badges" to provide immediate positive reinforcement upon the successful execution of specific biomechanical markers. Scenario complexity was progressively increased (Leveling Up) to maintain the learners' flow state.</w:t>
      </w:r>
    </w:p>
    <w:p w14:paraId="58CEB097" w14:textId="0DC17986" w:rsidR="0002138F" w:rsidRPr="00CA2EA1" w:rsidRDefault="0002138F" w:rsidP="00CA2EA1">
      <w:pPr>
        <w:adjustRightInd w:val="0"/>
        <w:snapToGrid w:val="0"/>
        <w:spacing w:after="0" w:line="240" w:lineRule="auto"/>
        <w:ind w:firstLine="938"/>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Control Group: A Traditional</w:t>
      </w:r>
      <w:r w:rsidRPr="00CA2EA1">
        <w:rPr>
          <w:rFonts w:ascii="Times New Roman" w:eastAsia="Times New Roman" w:hAnsi="Times New Roman" w:cs="Times New Roman"/>
          <w:color w:val="000000"/>
          <w:kern w:val="0"/>
          <w:szCs w:val="24"/>
          <w14:ligatures w14:val="none"/>
        </w:rPr>
        <w:t xml:space="preserve"> Direct-Instruction PE Program. This group utilized the identical time-frame and skill content as the experimental group but was executed via conventional methods involving explanation, demonstration, linear column formations, and generalized feedback, completely devoid of game mechanics and narrative structures.</w:t>
      </w:r>
    </w:p>
    <w:p w14:paraId="0C5973EA" w14:textId="6C4251A2" w:rsidR="0002138F" w:rsidRPr="00CA2EA1" w:rsidRDefault="0002138F" w:rsidP="00CA2EA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 xml:space="preserve">2. </w:t>
      </w:r>
      <w:r w:rsidR="00CA2EA1">
        <w:rPr>
          <w:rFonts w:ascii="Times New Roman" w:eastAsia="Times New Roman" w:hAnsi="Times New Roman" w:cs="Times New Roman"/>
          <w:b/>
          <w:bCs/>
          <w:color w:val="000000"/>
          <w:kern w:val="0"/>
          <w:szCs w:val="24"/>
          <w14:ligatures w14:val="none"/>
        </w:rPr>
        <w:t xml:space="preserve"> </w:t>
      </w:r>
      <w:r w:rsidRPr="00CA2EA1">
        <w:rPr>
          <w:rFonts w:ascii="Times New Roman" w:eastAsia="Times New Roman" w:hAnsi="Times New Roman" w:cs="Times New Roman"/>
          <w:b/>
          <w:bCs/>
          <w:color w:val="000000"/>
          <w:kern w:val="0"/>
          <w:szCs w:val="24"/>
          <w14:ligatures w14:val="none"/>
        </w:rPr>
        <w:t>Data Collection Instrument (Dependent Variable):</w:t>
      </w:r>
    </w:p>
    <w:p w14:paraId="1906E7D5" w14:textId="77777777" w:rsidR="001B7BB1" w:rsidRDefault="0002138F" w:rsidP="001B7BB1">
      <w:pPr>
        <w:adjustRightInd w:val="0"/>
        <w:snapToGrid w:val="0"/>
        <w:spacing w:after="0" w:line="240" w:lineRule="auto"/>
        <w:ind w:firstLine="851"/>
        <w:jc w:val="both"/>
        <w:rPr>
          <w:rFonts w:ascii="Times New Roman" w:eastAsia="Times New Roman" w:hAnsi="Times New Roman" w:cs="Times New Roman"/>
          <w:color w:val="000000"/>
          <w:kern w:val="0"/>
          <w:szCs w:val="24"/>
          <w:lang w:eastAsia="zh-CN"/>
          <w14:ligatures w14:val="none"/>
        </w:rPr>
      </w:pPr>
      <w:r w:rsidRPr="001B7BB1">
        <w:rPr>
          <w:rFonts w:ascii="Times New Roman" w:eastAsia="Times New Roman" w:hAnsi="Times New Roman" w:cs="Times New Roman"/>
          <w:color w:val="000000"/>
          <w:kern w:val="0"/>
          <w:szCs w:val="24"/>
          <w14:ligatures w14:val="none"/>
        </w:rPr>
        <w:t xml:space="preserve">Test of Gross Motor Development, Third Edition (TGMD-3): Developed by Ulrich (2019), the TGMD-3 serves as the international gold standard for assessing gross motor proficiency in children aged 3-10 years. It encompasses two primary subtests: </w:t>
      </w:r>
      <w:r w:rsidRPr="001B7BB1">
        <w:rPr>
          <w:rFonts w:ascii="Times New Roman" w:eastAsia="Times New Roman" w:hAnsi="Times New Roman" w:cs="Times New Roman"/>
          <w:i/>
          <w:iCs/>
          <w:color w:val="000000"/>
          <w:kern w:val="0"/>
          <w:szCs w:val="24"/>
          <w14:ligatures w14:val="none"/>
        </w:rPr>
        <w:t>Locomotor</w:t>
      </w:r>
      <w:r w:rsidRPr="00CA2EA1">
        <w:rPr>
          <w:rFonts w:ascii="Times New Roman" w:eastAsia="Times New Roman" w:hAnsi="Times New Roman" w:cs="Times New Roman"/>
          <w:i/>
          <w:iCs/>
          <w:color w:val="000000"/>
          <w:kern w:val="0"/>
          <w:szCs w:val="24"/>
          <w14:ligatures w14:val="none"/>
        </w:rPr>
        <w:t xml:space="preserve"> Subtest:</w:t>
      </w:r>
      <w:r w:rsidRPr="00CA2EA1">
        <w:rPr>
          <w:rFonts w:ascii="Times New Roman" w:eastAsia="Times New Roman" w:hAnsi="Times New Roman" w:cs="Times New Roman"/>
          <w:color w:val="000000"/>
          <w:kern w:val="0"/>
          <w:szCs w:val="24"/>
          <w14:ligatures w14:val="none"/>
        </w:rPr>
        <w:t xml:space="preserve"> 6 skills (Run, Gallop, Hop, Skip, Horizontal Jump, Slide). </w:t>
      </w:r>
      <w:r w:rsidRPr="00CA2EA1">
        <w:rPr>
          <w:rFonts w:ascii="Times New Roman" w:eastAsia="Times New Roman" w:hAnsi="Times New Roman" w:cs="Times New Roman"/>
          <w:i/>
          <w:iCs/>
          <w:color w:val="000000"/>
          <w:kern w:val="0"/>
          <w:szCs w:val="24"/>
          <w14:ligatures w14:val="none"/>
        </w:rPr>
        <w:t>Object Control Subtest:</w:t>
      </w:r>
      <w:r w:rsidRPr="00CA2EA1">
        <w:rPr>
          <w:rFonts w:ascii="Times New Roman" w:eastAsia="Times New Roman" w:hAnsi="Times New Roman" w:cs="Times New Roman"/>
          <w:color w:val="000000"/>
          <w:kern w:val="0"/>
          <w:szCs w:val="24"/>
          <w14:ligatures w14:val="none"/>
        </w:rPr>
        <w:t xml:space="preserve"> 7 skills </w:t>
      </w:r>
      <w:r w:rsidRPr="00CA2EA1">
        <w:rPr>
          <w:rFonts w:ascii="Times New Roman" w:eastAsia="Times New Roman" w:hAnsi="Times New Roman" w:cs="Times New Roman"/>
          <w:color w:val="000000"/>
          <w:kern w:val="0"/>
          <w:szCs w:val="24"/>
          <w14:ligatures w14:val="none"/>
        </w:rPr>
        <w:lastRenderedPageBreak/>
        <w:t>(Two-hand strike of a stationary ball, Forehand strike of a self-bounced ball, Stationary dribble, Two-hand catch, Kick a stationary ball, Overhand throw, Underhand roll).</w:t>
      </w:r>
    </w:p>
    <w:p w14:paraId="769C9948" w14:textId="231934AF" w:rsidR="0002138F" w:rsidRPr="00CA2EA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lang w:eastAsia="zh-CN"/>
          <w14:ligatures w14:val="none"/>
        </w:rPr>
      </w:pPr>
      <w:r w:rsidRPr="00CA2EA1">
        <w:rPr>
          <w:rFonts w:ascii="Times New Roman" w:eastAsia="Times New Roman" w:hAnsi="Times New Roman" w:cs="Times New Roman"/>
          <w:b/>
          <w:bCs/>
          <w:color w:val="000000"/>
          <w:kern w:val="0"/>
          <w:szCs w:val="24"/>
          <w14:ligatures w14:val="none"/>
        </w:rPr>
        <w:t>Quality Assessment of Instruments</w:t>
      </w:r>
    </w:p>
    <w:p w14:paraId="5314A705" w14:textId="62028A3D" w:rsidR="002C1819" w:rsidRPr="001B7BB1" w:rsidRDefault="0002138F" w:rsidP="00CA2EA1">
      <w:pPr>
        <w:adjustRightInd w:val="0"/>
        <w:snapToGrid w:val="0"/>
        <w:spacing w:after="0" w:line="240" w:lineRule="auto"/>
        <w:ind w:firstLine="851"/>
        <w:jc w:val="both"/>
        <w:rPr>
          <w:rFonts w:ascii="Times New Roman" w:hAnsi="Times New Roman" w:cs="Times New Roman"/>
          <w:szCs w:val="24"/>
        </w:rPr>
      </w:pPr>
      <w:r w:rsidRPr="001B7BB1">
        <w:rPr>
          <w:rFonts w:ascii="Times New Roman" w:eastAsia="Times New Roman" w:hAnsi="Times New Roman" w:cs="Times New Roman"/>
          <w:color w:val="000000"/>
          <w:kern w:val="0"/>
          <w:szCs w:val="24"/>
          <w14:ligatures w14:val="none"/>
        </w:rPr>
        <w:t>Content Validity: The gamified lesson plans and game mechanics were rigorously evaluated by a panel of 5 experts holding doctoral degrees in physical education pedagogy and motor development. The Index of Item-Objective Congruence (IOC) ranged from 0.88 to 0.95.</w:t>
      </w:r>
      <w:r w:rsidR="002C1819" w:rsidRPr="001B7BB1">
        <w:rPr>
          <w:rFonts w:ascii="Times New Roman" w:hAnsi="Times New Roman" w:cs="Times New Roman"/>
          <w:szCs w:val="24"/>
        </w:rPr>
        <w:t xml:space="preserve"> </w:t>
      </w:r>
      <w:r w:rsidR="002C1819" w:rsidRPr="001B7BB1">
        <w:rPr>
          <w:rFonts w:ascii="Times New Roman" w:hAnsi="Times New Roman" w:cs="Times New Roman"/>
          <w:szCs w:val="24"/>
          <w:cs/>
        </w:rPr>
        <w:t xml:space="preserve"> </w:t>
      </w:r>
      <w:r w:rsidR="002C1819" w:rsidRPr="001B7BB1">
        <w:rPr>
          <w:rFonts w:ascii="Times New Roman" w:eastAsia="Times New Roman" w:hAnsi="Times New Roman" w:cs="Times New Roman"/>
          <w:color w:val="000000"/>
          <w:kern w:val="0"/>
          <w:szCs w:val="24"/>
          <w14:ligatures w14:val="none"/>
        </w:rPr>
        <w:t>Try-out Phase: Following expert validation, the program was subjected to an iterative try-out phase involving small groups of 3, 5, and 9 non-participating students. This step was critical to meticulously calibrate the difficulty levels, ensure safety, and verify the operational feasibility of the game mechanics prior to formal implementation.</w:t>
      </w:r>
    </w:p>
    <w:p w14:paraId="1B4D91C7" w14:textId="38F88A15" w:rsidR="001B7BB1" w:rsidRDefault="0002138F" w:rsidP="001B7BB1">
      <w:pPr>
        <w:adjustRightInd w:val="0"/>
        <w:snapToGrid w:val="0"/>
        <w:spacing w:after="0" w:line="240" w:lineRule="auto"/>
        <w:ind w:firstLine="993"/>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Inter-Rater Reliability: Given the observational nature of the TGMD-3, two independent, certified evaluators analyzed the video recordings. The Intraclass Correlation Coefficient (ICC) was calculated at 0.91, demonstrating excellent</w:t>
      </w:r>
      <w:r w:rsidRPr="00CA2EA1">
        <w:rPr>
          <w:rFonts w:ascii="Times New Roman" w:eastAsia="Times New Roman" w:hAnsi="Times New Roman" w:cs="Times New Roman"/>
          <w:color w:val="000000"/>
          <w:kern w:val="0"/>
          <w:szCs w:val="24"/>
          <w14:ligatures w14:val="none"/>
        </w:rPr>
        <w:t xml:space="preserve"> inter-rater reliability.</w:t>
      </w:r>
    </w:p>
    <w:p w14:paraId="7ED17793" w14:textId="230F554E" w:rsidR="0002138F" w:rsidRPr="001B7BB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Data Collection</w:t>
      </w:r>
    </w:p>
    <w:p w14:paraId="103F30E1" w14:textId="77777777" w:rsidR="001B7BB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The research spanned a comprehensive 12-week timeline:</w:t>
      </w:r>
    </w:p>
    <w:p w14:paraId="7C5D5404" w14:textId="77777777" w:rsidR="001B7BB1" w:rsidRPr="001B7BB1" w:rsidRDefault="0002138F" w:rsidP="001B7BB1">
      <w:pPr>
        <w:pStyle w:val="ListParagraph"/>
        <w:numPr>
          <w:ilvl w:val="0"/>
          <w:numId w:val="7"/>
        </w:numPr>
        <w:tabs>
          <w:tab w:val="clear" w:pos="720"/>
          <w:tab w:val="left" w:pos="0"/>
          <w:tab w:val="left" w:pos="993"/>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Week 1 (Pre-test): Baseline TGMD-3 assessments were conducted for both groups.</w:t>
      </w:r>
    </w:p>
    <w:p w14:paraId="29DD30F3" w14:textId="77777777" w:rsidR="001B7BB1" w:rsidRPr="001B7BB1" w:rsidRDefault="0002138F" w:rsidP="001B7BB1">
      <w:pPr>
        <w:pStyle w:val="ListParagraph"/>
        <w:numPr>
          <w:ilvl w:val="0"/>
          <w:numId w:val="7"/>
        </w:numPr>
        <w:tabs>
          <w:tab w:val="clear" w:pos="720"/>
          <w:tab w:val="left" w:pos="0"/>
          <w:tab w:val="left" w:pos="993"/>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Weeks 2-11 (Intervention): The 10-week intervention programs (gamified and traditional) were implemented.</w:t>
      </w:r>
    </w:p>
    <w:p w14:paraId="4AFBDAE9" w14:textId="77777777" w:rsidR="001B7BB1" w:rsidRPr="001B7BB1" w:rsidRDefault="0002138F" w:rsidP="001B7BB1">
      <w:pPr>
        <w:pStyle w:val="ListParagraph"/>
        <w:numPr>
          <w:ilvl w:val="0"/>
          <w:numId w:val="7"/>
        </w:numPr>
        <w:tabs>
          <w:tab w:val="clear" w:pos="720"/>
          <w:tab w:val="left" w:pos="0"/>
          <w:tab w:val="left" w:pos="993"/>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Week 6 (Mid-test): A formative TGMD-3 assessment was conducted exclusively for the experimental group to monitor mid-point developmental trajectories.</w:t>
      </w:r>
    </w:p>
    <w:p w14:paraId="78412C66" w14:textId="4C1B3638" w:rsidR="0002138F" w:rsidRPr="001B7BB1" w:rsidRDefault="0002138F" w:rsidP="001B7BB1">
      <w:pPr>
        <w:pStyle w:val="ListParagraph"/>
        <w:numPr>
          <w:ilvl w:val="0"/>
          <w:numId w:val="7"/>
        </w:numPr>
        <w:tabs>
          <w:tab w:val="clear" w:pos="720"/>
          <w:tab w:val="left" w:pos="0"/>
          <w:tab w:val="left" w:pos="993"/>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Week 12 (Post-test): Final TGMD-3 assessments were conducted for both groups under standardized conditions identical to the pre-test.</w:t>
      </w:r>
    </w:p>
    <w:p w14:paraId="1B9C455B" w14:textId="77777777" w:rsidR="001B7BB1" w:rsidRDefault="0002138F" w:rsidP="001B7BB1">
      <w:pPr>
        <w:adjustRightInd w:val="0"/>
        <w:snapToGrid w:val="0"/>
        <w:spacing w:after="0" w:line="240" w:lineRule="auto"/>
        <w:ind w:firstLine="567"/>
        <w:jc w:val="both"/>
        <w:outlineLvl w:val="2"/>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Data Analysis</w:t>
      </w:r>
    </w:p>
    <w:p w14:paraId="3F874D81" w14:textId="24744588" w:rsidR="00A306AA" w:rsidRPr="001B7BB1" w:rsidRDefault="0002138F" w:rsidP="001B7BB1">
      <w:pPr>
        <w:adjustRightInd w:val="0"/>
        <w:snapToGrid w:val="0"/>
        <w:spacing w:after="0" w:line="240" w:lineRule="auto"/>
        <w:ind w:firstLine="567"/>
        <w:jc w:val="both"/>
        <w:outlineLvl w:val="2"/>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Data were processed using statistical software</w:t>
      </w:r>
      <w:r w:rsidR="00A306AA" w:rsidRPr="00CA2EA1">
        <w:rPr>
          <w:rFonts w:ascii="Times New Roman" w:eastAsia="Times New Roman" w:hAnsi="Times New Roman" w:cs="Times New Roman"/>
          <w:color w:val="000000"/>
          <w:kern w:val="0"/>
          <w:szCs w:val="24"/>
          <w14:ligatures w14:val="none"/>
        </w:rPr>
        <w:t xml:space="preserve"> packgate</w:t>
      </w:r>
      <w:r w:rsidRPr="00CA2EA1">
        <w:rPr>
          <w:rFonts w:ascii="Times New Roman" w:eastAsia="Times New Roman" w:hAnsi="Times New Roman" w:cs="Times New Roman"/>
          <w:color w:val="000000"/>
          <w:kern w:val="0"/>
          <w:szCs w:val="24"/>
          <w14:ligatures w14:val="none"/>
        </w:rPr>
        <w:t>. Preliminary assumption checks (Shapiro-Wilk test for normality and Levene's test for homogeneity of variance) confirmed that parametric statistical criteria were met.</w:t>
      </w:r>
      <w:r w:rsidR="00A306AA" w:rsidRPr="00CA2EA1">
        <w:rPr>
          <w:rFonts w:ascii="Times New Roman" w:eastAsia="Times New Roman" w:hAnsi="Times New Roman" w:cs="Times New Roman"/>
          <w:color w:val="000000"/>
          <w:kern w:val="0"/>
          <w:szCs w:val="24"/>
          <w14:ligatures w14:val="none"/>
        </w:rPr>
        <w:t xml:space="preserve"> Additionally, Mauchly’s test of sphericity was conducted to validate the assumptions for the repeated measures ANOVA. Where the assumption of sphericity was violated, the Greenhouse-Geisser correction was applied.</w:t>
      </w:r>
    </w:p>
    <w:p w14:paraId="485C3AE9" w14:textId="77777777" w:rsidR="0002138F" w:rsidRPr="001B7BB1" w:rsidRDefault="0002138F" w:rsidP="002C1819">
      <w:pPr>
        <w:pStyle w:val="ListParagraph"/>
        <w:numPr>
          <w:ilvl w:val="0"/>
          <w:numId w:val="14"/>
        </w:numPr>
        <w:tabs>
          <w:tab w:val="left" w:pos="851"/>
          <w:tab w:val="left" w:pos="1134"/>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Descriptive Statistics: Means (</w:t>
      </w:r>
      <w:r w:rsidRPr="001B7BB1">
        <w:rPr>
          <w:rFonts w:ascii="Times New Roman" w:eastAsia="Times New Roman" w:hAnsi="Times New Roman" w:cs="Times New Roman"/>
          <w:i/>
          <w:iCs/>
          <w:color w:val="000000"/>
          <w:kern w:val="0"/>
          <w:szCs w:val="24"/>
          <w14:ligatures w14:val="none"/>
        </w:rPr>
        <w:t>M</w:t>
      </w:r>
      <w:r w:rsidRPr="001B7BB1">
        <w:rPr>
          <w:rFonts w:ascii="Times New Roman" w:eastAsia="Times New Roman" w:hAnsi="Times New Roman" w:cs="Times New Roman"/>
          <w:color w:val="000000"/>
          <w:kern w:val="0"/>
          <w:szCs w:val="24"/>
          <w14:ligatures w14:val="none"/>
        </w:rPr>
        <w:t>) and Standard Deviations (</w:t>
      </w:r>
      <w:r w:rsidRPr="001B7BB1">
        <w:rPr>
          <w:rFonts w:ascii="Times New Roman" w:eastAsia="Times New Roman" w:hAnsi="Times New Roman" w:cs="Times New Roman"/>
          <w:i/>
          <w:iCs/>
          <w:color w:val="000000"/>
          <w:kern w:val="0"/>
          <w:szCs w:val="24"/>
          <w14:ligatures w14:val="none"/>
        </w:rPr>
        <w:t>SD</w:t>
      </w:r>
      <w:r w:rsidRPr="001B7BB1">
        <w:rPr>
          <w:rFonts w:ascii="Times New Roman" w:eastAsia="Times New Roman" w:hAnsi="Times New Roman" w:cs="Times New Roman"/>
          <w:color w:val="000000"/>
          <w:kern w:val="0"/>
          <w:szCs w:val="24"/>
          <w14:ligatures w14:val="none"/>
        </w:rPr>
        <w:t>) were calculated.</w:t>
      </w:r>
    </w:p>
    <w:p w14:paraId="154CD5AA" w14:textId="24A46085" w:rsidR="0002138F" w:rsidRPr="001B7BB1" w:rsidRDefault="0002138F" w:rsidP="002C1819">
      <w:pPr>
        <w:pStyle w:val="ListParagraph"/>
        <w:numPr>
          <w:ilvl w:val="0"/>
          <w:numId w:val="14"/>
        </w:numPr>
        <w:tabs>
          <w:tab w:val="left" w:pos="851"/>
          <w:tab w:val="left" w:pos="1134"/>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Inferential Statistics:  Independent Samples </w:t>
      </w:r>
      <w:r w:rsidRPr="001B7BB1">
        <w:rPr>
          <w:rFonts w:ascii="Times New Roman" w:eastAsia="Times New Roman" w:hAnsi="Times New Roman" w:cs="Times New Roman"/>
          <w:i/>
          <w:iCs/>
          <w:color w:val="000000"/>
          <w:kern w:val="0"/>
          <w:szCs w:val="24"/>
          <w14:ligatures w14:val="none"/>
        </w:rPr>
        <w:t>t</w:t>
      </w:r>
      <w:r w:rsidRPr="001B7BB1">
        <w:rPr>
          <w:rFonts w:ascii="Times New Roman" w:eastAsia="Times New Roman" w:hAnsi="Times New Roman" w:cs="Times New Roman"/>
          <w:color w:val="000000"/>
          <w:kern w:val="0"/>
          <w:szCs w:val="24"/>
          <w14:ligatures w14:val="none"/>
        </w:rPr>
        <w:t>-test was utilized to compare TGMD-3 scores between the experimental and control groups, accompanied by Cohen's </w:t>
      </w:r>
      <w:r w:rsidRPr="001B7BB1">
        <w:rPr>
          <w:rFonts w:ascii="Times New Roman" w:eastAsia="Times New Roman" w:hAnsi="Times New Roman" w:cs="Times New Roman"/>
          <w:i/>
          <w:iCs/>
          <w:color w:val="000000"/>
          <w:kern w:val="0"/>
          <w:szCs w:val="24"/>
          <w14:ligatures w14:val="none"/>
        </w:rPr>
        <w:t>d</w:t>
      </w:r>
      <w:r w:rsidRPr="001B7BB1">
        <w:rPr>
          <w:rFonts w:ascii="Times New Roman" w:eastAsia="Times New Roman" w:hAnsi="Times New Roman" w:cs="Times New Roman"/>
          <w:color w:val="000000"/>
          <w:kern w:val="0"/>
          <w:szCs w:val="24"/>
          <w14:ligatures w14:val="none"/>
        </w:rPr>
        <w:t> to determine the practical effect size.</w:t>
      </w:r>
    </w:p>
    <w:p w14:paraId="3FAD919B" w14:textId="23D0B7ED" w:rsidR="0002138F" w:rsidRPr="001B7BB1" w:rsidRDefault="0002138F" w:rsidP="002C1819">
      <w:pPr>
        <w:numPr>
          <w:ilvl w:val="0"/>
          <w:numId w:val="14"/>
        </w:numPr>
        <w:tabs>
          <w:tab w:val="left" w:pos="851"/>
          <w:tab w:val="left" w:pos="1134"/>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One-way Repeated Measures ANOVA was employed to analyze within-group development (Pre, Mid, Post), followed by Bonferroni post-hoc pairwise comparisons, with overall effect size calculated using Partial Eta Squared (</w:t>
      </w:r>
      <w:r w:rsidR="002C1819" w:rsidRPr="001B7BB1">
        <w:rPr>
          <w:rFonts w:ascii="Times New Roman" w:eastAsia="Times New Roman" w:hAnsi="Times New Roman" w:cs="Times New Roman"/>
          <w:color w:val="000000"/>
          <w:kern w:val="0"/>
          <w:szCs w:val="24"/>
          <w:lang w:val="en-US"/>
          <w14:ligatures w14:val="none"/>
        </w:rPr>
        <w:t>n</w:t>
      </w:r>
      <w:r w:rsidRPr="001B7BB1">
        <w:rPr>
          <w:rFonts w:ascii="Times New Roman" w:eastAsia="Times New Roman" w:hAnsi="Times New Roman" w:cs="Times New Roman"/>
          <w:color w:val="000000"/>
          <w:kern w:val="0"/>
          <w:szCs w:val="24"/>
          <w:vertAlign w:val="subscript"/>
          <w14:ligatures w14:val="none"/>
        </w:rPr>
        <w:t>p</w:t>
      </w:r>
      <w:r w:rsidRPr="001B7BB1">
        <w:rPr>
          <w:rFonts w:ascii="Times New Roman" w:eastAsia="Times New Roman" w:hAnsi="Times New Roman" w:cs="Times New Roman"/>
          <w:color w:val="000000"/>
          <w:kern w:val="0"/>
          <w:szCs w:val="24"/>
          <w:vertAlign w:val="superscript"/>
          <w14:ligatures w14:val="none"/>
        </w:rPr>
        <w:t>2</w:t>
      </w:r>
      <w:r w:rsidRPr="001B7BB1">
        <w:rPr>
          <w:rFonts w:ascii="Times New Roman" w:eastAsia="Times New Roman" w:hAnsi="Times New Roman" w:cs="Times New Roman"/>
          <w:color w:val="000000"/>
          <w:kern w:val="0"/>
          <w:szCs w:val="24"/>
          <w14:ligatures w14:val="none"/>
        </w:rPr>
        <w:t>).</w:t>
      </w:r>
    </w:p>
    <w:p w14:paraId="00B7BFA7" w14:textId="4241328D" w:rsidR="0002138F" w:rsidRPr="00CA2EA1" w:rsidRDefault="0002138F" w:rsidP="002C1819">
      <w:pPr>
        <w:numPr>
          <w:ilvl w:val="0"/>
          <w:numId w:val="14"/>
        </w:numPr>
        <w:tabs>
          <w:tab w:val="left" w:pos="851"/>
          <w:tab w:val="left" w:pos="1134"/>
        </w:tabs>
        <w:adjustRightInd w:val="0"/>
        <w:snapToGrid w:val="0"/>
        <w:spacing w:after="0" w:line="240" w:lineRule="auto"/>
        <w:ind w:left="0" w:firstLine="567"/>
        <w:jc w:val="both"/>
        <w:rPr>
          <w:rFonts w:ascii="Times New Roman" w:eastAsia="Times New Roman" w:hAnsi="Times New Roman" w:cs="Times New Roman"/>
          <w:color w:val="000000" w:themeColor="text1"/>
          <w:kern w:val="0"/>
          <w:szCs w:val="24"/>
          <w14:ligatures w14:val="none"/>
        </w:rPr>
      </w:pPr>
      <w:r w:rsidRPr="001B7BB1">
        <w:rPr>
          <w:rFonts w:ascii="Times New Roman" w:eastAsia="Times New Roman" w:hAnsi="Times New Roman" w:cs="Times New Roman"/>
          <w:color w:val="000000"/>
          <w:kern w:val="0"/>
          <w:szCs w:val="24"/>
          <w14:ligatures w14:val="none"/>
        </w:rPr>
        <w:t>The threshold for statistical significance</w:t>
      </w:r>
      <w:r w:rsidRPr="00CA2EA1">
        <w:rPr>
          <w:rFonts w:ascii="Times New Roman" w:eastAsia="Times New Roman" w:hAnsi="Times New Roman" w:cs="Times New Roman"/>
          <w:color w:val="000000"/>
          <w:kern w:val="0"/>
          <w:szCs w:val="24"/>
          <w14:ligatures w14:val="none"/>
        </w:rPr>
        <w:t xml:space="preserve"> was established at </w:t>
      </w:r>
      <w:r w:rsidR="002C1819" w:rsidRPr="00CA2EA1">
        <w:rPr>
          <w:rFonts w:ascii="Times New Roman" w:eastAsia="Times New Roman" w:hAnsi="Times New Roman" w:cs="Times New Roman"/>
          <w:color w:val="000000" w:themeColor="text1"/>
          <w:kern w:val="0"/>
          <w:szCs w:val="24"/>
          <w14:ligatures w14:val="none"/>
        </w:rPr>
        <w:t>α</w:t>
      </w:r>
      <w:r w:rsidRPr="00CA2EA1">
        <w:rPr>
          <w:rFonts w:ascii="Times New Roman" w:eastAsia="Times New Roman" w:hAnsi="Times New Roman" w:cs="Times New Roman"/>
          <w:color w:val="000000" w:themeColor="text1"/>
          <w:kern w:val="0"/>
          <w:szCs w:val="24"/>
          <w14:ligatures w14:val="none"/>
        </w:rPr>
        <w:t> = .05.</w:t>
      </w:r>
    </w:p>
    <w:p w14:paraId="579F77D2" w14:textId="77777777" w:rsidR="00C42504" w:rsidRPr="00CA2EA1" w:rsidRDefault="00C42504"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24402311" w14:textId="2F5620E6" w:rsidR="0002138F" w:rsidRPr="001B7BB1" w:rsidRDefault="0002138F" w:rsidP="0002138F">
      <w:pPr>
        <w:adjustRightInd w:val="0"/>
        <w:snapToGrid w:val="0"/>
        <w:spacing w:after="0" w:line="240" w:lineRule="auto"/>
        <w:jc w:val="both"/>
        <w:outlineLvl w:val="1"/>
        <w:rPr>
          <w:rFonts w:ascii="Times New Roman" w:eastAsia="Times New Roman" w:hAnsi="Times New Roman" w:cs="Times New Roman"/>
          <w:b/>
          <w:bCs/>
          <w:color w:val="000000"/>
          <w:kern w:val="0"/>
          <w:sz w:val="28"/>
          <w:szCs w:val="28"/>
          <w14:ligatures w14:val="none"/>
        </w:rPr>
      </w:pPr>
      <w:r w:rsidRPr="001B7BB1">
        <w:rPr>
          <w:rFonts w:ascii="Times New Roman" w:eastAsia="Times New Roman" w:hAnsi="Times New Roman" w:cs="Times New Roman"/>
          <w:b/>
          <w:bCs/>
          <w:color w:val="000000"/>
          <w:kern w:val="0"/>
          <w:sz w:val="28"/>
          <w:szCs w:val="28"/>
          <w14:ligatures w14:val="none"/>
        </w:rPr>
        <w:t>Results</w:t>
      </w:r>
    </w:p>
    <w:p w14:paraId="4B8DFBE6" w14:textId="77777777" w:rsidR="0002138F" w:rsidRPr="00CA2EA1" w:rsidRDefault="0002138F" w:rsidP="001B7BB1">
      <w:pPr>
        <w:adjustRightInd w:val="0"/>
        <w:snapToGrid w:val="0"/>
        <w:spacing w:after="0" w:line="240" w:lineRule="auto"/>
        <w:jc w:val="both"/>
        <w:outlineLvl w:val="2"/>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Part 1: Baseline Equivalence Analysis (Pre-test)</w:t>
      </w:r>
    </w:p>
    <w:p w14:paraId="210578CA" w14:textId="77777777" w:rsidR="0002138F" w:rsidRPr="00CA2EA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Initial independent samples </w:t>
      </w:r>
      <w:r w:rsidRPr="00CA2EA1">
        <w:rPr>
          <w:rFonts w:ascii="Times New Roman" w:eastAsia="Times New Roman" w:hAnsi="Times New Roman" w:cs="Times New Roman"/>
          <w:i/>
          <w:iCs/>
          <w:color w:val="000000"/>
          <w:kern w:val="0"/>
          <w:szCs w:val="24"/>
          <w14:ligatures w14:val="none"/>
        </w:rPr>
        <w:t>t</w:t>
      </w:r>
      <w:r w:rsidRPr="00CA2EA1">
        <w:rPr>
          <w:rFonts w:ascii="Times New Roman" w:eastAsia="Times New Roman" w:hAnsi="Times New Roman" w:cs="Times New Roman"/>
          <w:color w:val="000000"/>
          <w:kern w:val="0"/>
          <w:szCs w:val="24"/>
          <w14:ligatures w14:val="none"/>
        </w:rPr>
        <w:t>-tests conducted on the pre-test data revealed no statistically significant differences between the experimental and control groups across the locomotor subtest, object control subtest, or total motor competence scores (</w:t>
      </w:r>
      <w:r w:rsidRPr="00CA2EA1">
        <w:rPr>
          <w:rFonts w:ascii="Times New Roman" w:eastAsia="Times New Roman" w:hAnsi="Times New Roman" w:cs="Times New Roman"/>
          <w:i/>
          <w:iCs/>
          <w:color w:val="000000"/>
          <w:kern w:val="0"/>
          <w:szCs w:val="24"/>
          <w14:ligatures w14:val="none"/>
        </w:rPr>
        <w:t>p</w:t>
      </w:r>
      <w:r w:rsidRPr="00CA2EA1">
        <w:rPr>
          <w:rFonts w:ascii="Times New Roman" w:eastAsia="Times New Roman" w:hAnsi="Times New Roman" w:cs="Times New Roman"/>
          <w:color w:val="000000"/>
          <w:kern w:val="0"/>
          <w:szCs w:val="24"/>
          <w14:ligatures w14:val="none"/>
        </w:rPr>
        <w:t> &gt; .05). This confirmed that both cohorts possessed statistically equivalent baseline motor proficiencies prior to the intervention.</w:t>
      </w:r>
    </w:p>
    <w:p w14:paraId="21AB6034" w14:textId="77777777" w:rsidR="001B7BB1" w:rsidRDefault="001B7BB1" w:rsidP="001B7BB1">
      <w:pPr>
        <w:adjustRightInd w:val="0"/>
        <w:snapToGrid w:val="0"/>
        <w:spacing w:after="0" w:line="240" w:lineRule="auto"/>
        <w:jc w:val="both"/>
        <w:outlineLvl w:val="2"/>
        <w:rPr>
          <w:rFonts w:ascii="Times New Roman" w:eastAsia="Times New Roman" w:hAnsi="Times New Roman" w:cs="Times New Roman"/>
          <w:b/>
          <w:bCs/>
          <w:color w:val="000000"/>
          <w:kern w:val="0"/>
          <w:szCs w:val="24"/>
          <w14:ligatures w14:val="none"/>
        </w:rPr>
      </w:pPr>
    </w:p>
    <w:p w14:paraId="69F7B186" w14:textId="1638F212" w:rsidR="0002138F" w:rsidRPr="00CA2EA1" w:rsidRDefault="0002138F" w:rsidP="001B7BB1">
      <w:pPr>
        <w:adjustRightInd w:val="0"/>
        <w:snapToGrid w:val="0"/>
        <w:spacing w:after="0" w:line="240" w:lineRule="auto"/>
        <w:jc w:val="both"/>
        <w:outlineLvl w:val="2"/>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Part 2: Between-Group Comparison of Post-Intervention Motor Competence</w:t>
      </w:r>
    </w:p>
    <w:p w14:paraId="5E626135" w14:textId="77777777" w:rsidR="0002138F" w:rsidRPr="00CA2EA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Following the completion of the 10-week programs, the comparison across all 13 individual skill criteria demonstrated the overwhelming statistical superiority of the gamified pedagogical approach, as detailed in Table 1.</w:t>
      </w:r>
    </w:p>
    <w:p w14:paraId="1726EBDE" w14:textId="77777777" w:rsidR="00BD3C02" w:rsidRPr="00CA2EA1" w:rsidRDefault="00BD3C02" w:rsidP="0002138F">
      <w:pPr>
        <w:adjustRightInd w:val="0"/>
        <w:snapToGrid w:val="0"/>
        <w:spacing w:after="0" w:line="240" w:lineRule="auto"/>
        <w:jc w:val="both"/>
        <w:rPr>
          <w:rFonts w:ascii="Times New Roman" w:eastAsia="Times New Roman" w:hAnsi="Times New Roman" w:cs="Times New Roman"/>
          <w:b/>
          <w:bCs/>
          <w:color w:val="000000"/>
          <w:kern w:val="0"/>
          <w:szCs w:val="24"/>
          <w14:ligatures w14:val="none"/>
        </w:rPr>
      </w:pPr>
    </w:p>
    <w:p w14:paraId="0F11D0BA" w14:textId="77777777" w:rsidR="00BD3C02" w:rsidRPr="00CA2EA1" w:rsidRDefault="00BD3C02" w:rsidP="0002138F">
      <w:pPr>
        <w:adjustRightInd w:val="0"/>
        <w:snapToGrid w:val="0"/>
        <w:spacing w:after="0" w:line="240" w:lineRule="auto"/>
        <w:jc w:val="both"/>
        <w:rPr>
          <w:rFonts w:ascii="Times New Roman" w:eastAsia="Times New Roman" w:hAnsi="Times New Roman" w:cs="Times New Roman"/>
          <w:b/>
          <w:bCs/>
          <w:color w:val="000000"/>
          <w:kern w:val="0"/>
          <w:szCs w:val="24"/>
          <w14:ligatures w14:val="none"/>
        </w:rPr>
      </w:pPr>
    </w:p>
    <w:p w14:paraId="750548C6" w14:textId="77777777" w:rsidR="00BD3C02" w:rsidRPr="00CA2EA1" w:rsidRDefault="00BD3C02" w:rsidP="0002138F">
      <w:pPr>
        <w:adjustRightInd w:val="0"/>
        <w:snapToGrid w:val="0"/>
        <w:spacing w:after="0" w:line="240" w:lineRule="auto"/>
        <w:jc w:val="both"/>
        <w:rPr>
          <w:rFonts w:ascii="Times New Roman" w:eastAsia="Times New Roman" w:hAnsi="Times New Roman" w:cs="Times New Roman"/>
          <w:b/>
          <w:bCs/>
          <w:color w:val="000000"/>
          <w:kern w:val="0"/>
          <w:szCs w:val="24"/>
          <w14:ligatures w14:val="none"/>
        </w:rPr>
      </w:pPr>
    </w:p>
    <w:p w14:paraId="7F380DEF" w14:textId="54023DAF" w:rsidR="0002138F" w:rsidRPr="001B7BB1" w:rsidRDefault="0002138F" w:rsidP="0002138F">
      <w:pPr>
        <w:adjustRightInd w:val="0"/>
        <w:snapToGrid w:val="0"/>
        <w:spacing w:after="0" w:line="240" w:lineRule="auto"/>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lastRenderedPageBreak/>
        <w:t>Table 1:</w:t>
      </w:r>
      <w:r w:rsidRPr="00CA2EA1">
        <w:rPr>
          <w:rFonts w:ascii="Times New Roman" w:eastAsia="Times New Roman" w:hAnsi="Times New Roman" w:cs="Times New Roman"/>
          <w:color w:val="000000"/>
          <w:kern w:val="0"/>
          <w:szCs w:val="24"/>
          <w14:ligatures w14:val="none"/>
        </w:rPr>
        <w:t> </w:t>
      </w:r>
      <w:r w:rsidRPr="001B7BB1">
        <w:rPr>
          <w:rFonts w:ascii="Times New Roman" w:eastAsia="Times New Roman" w:hAnsi="Times New Roman" w:cs="Times New Roman"/>
          <w:color w:val="000000"/>
          <w:kern w:val="0"/>
          <w:szCs w:val="24"/>
          <w14:ligatures w14:val="none"/>
        </w:rPr>
        <w:t>Comparison of Post-test TGMD-3 Scores across 13 Skill Items between the Experimental and Control Groups</w:t>
      </w:r>
    </w:p>
    <w:tbl>
      <w:tblPr>
        <w:tblStyle w:val="TableGrid"/>
        <w:tblW w:w="8778" w:type="dxa"/>
        <w:tblLook w:val="04A0" w:firstRow="1" w:lastRow="0" w:firstColumn="1" w:lastColumn="0" w:noHBand="0" w:noVBand="1"/>
      </w:tblPr>
      <w:tblGrid>
        <w:gridCol w:w="2576"/>
        <w:gridCol w:w="1616"/>
        <w:gridCol w:w="1494"/>
        <w:gridCol w:w="924"/>
        <w:gridCol w:w="756"/>
        <w:gridCol w:w="1412"/>
      </w:tblGrid>
      <w:tr w:rsidR="00BD3C02" w:rsidRPr="00CA2EA1" w14:paraId="7959145F" w14:textId="77777777" w:rsidTr="001B7BB1">
        <w:tc>
          <w:tcPr>
            <w:tcW w:w="2689" w:type="dxa"/>
            <w:vMerge w:val="restart"/>
          </w:tcPr>
          <w:p w14:paraId="326E567A" w14:textId="1AD85CB7" w:rsidR="00BD3C02" w:rsidRPr="00CA2EA1" w:rsidRDefault="00BD3C02" w:rsidP="00BD3C02">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TGMD-3 Items</w:t>
            </w:r>
          </w:p>
        </w:tc>
        <w:tc>
          <w:tcPr>
            <w:tcW w:w="1427" w:type="dxa"/>
          </w:tcPr>
          <w:p w14:paraId="2E5F690E" w14:textId="0FF1D65A" w:rsidR="00BD3C02" w:rsidRPr="00CA2EA1" w:rsidRDefault="00BD3C02" w:rsidP="001B7BB1">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Experimental Group</w:t>
            </w:r>
          </w:p>
          <w:p w14:paraId="4DF85C1D" w14:textId="53354A05" w:rsidR="00BD3C02" w:rsidRPr="00CA2EA1" w:rsidRDefault="00BD3C02" w:rsidP="001B7BB1">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(n=30)</w:t>
            </w:r>
          </w:p>
        </w:tc>
        <w:tc>
          <w:tcPr>
            <w:tcW w:w="1538" w:type="dxa"/>
          </w:tcPr>
          <w:p w14:paraId="4BF29D8D" w14:textId="671E8347" w:rsidR="00BD3C02" w:rsidRPr="00CA2EA1" w:rsidRDefault="00BD3C02" w:rsidP="001B7BB1">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Control Group (n=30)</w:t>
            </w:r>
          </w:p>
        </w:tc>
        <w:tc>
          <w:tcPr>
            <w:tcW w:w="939" w:type="dxa"/>
            <w:vMerge w:val="restart"/>
          </w:tcPr>
          <w:p w14:paraId="3592FBF8" w14:textId="7787CEA5" w:rsidR="00BD3C02" w:rsidRPr="00CA2EA1" w:rsidRDefault="00BD3C02" w:rsidP="001B7BB1">
            <w:pPr>
              <w:adjustRightInd w:val="0"/>
              <w:snapToGrid w:val="0"/>
              <w:jc w:val="center"/>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i/>
                <w:iCs/>
                <w:color w:val="000000"/>
                <w:kern w:val="0"/>
                <w:szCs w:val="24"/>
                <w14:ligatures w14:val="none"/>
              </w:rPr>
              <w:t>t</w:t>
            </w:r>
          </w:p>
        </w:tc>
        <w:tc>
          <w:tcPr>
            <w:tcW w:w="756" w:type="dxa"/>
            <w:vMerge w:val="restart"/>
          </w:tcPr>
          <w:p w14:paraId="62D93973" w14:textId="0E7D49E0" w:rsidR="00BD3C02" w:rsidRPr="00CA2EA1" w:rsidRDefault="00BD3C02" w:rsidP="001B7BB1">
            <w:pPr>
              <w:adjustRightInd w:val="0"/>
              <w:snapToGrid w:val="0"/>
              <w:jc w:val="center"/>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i/>
                <w:iCs/>
                <w:color w:val="000000"/>
                <w:kern w:val="0"/>
                <w:szCs w:val="24"/>
                <w14:ligatures w14:val="none"/>
              </w:rPr>
              <w:t>p</w:t>
            </w:r>
          </w:p>
        </w:tc>
        <w:tc>
          <w:tcPr>
            <w:tcW w:w="1429" w:type="dxa"/>
            <w:vMerge w:val="restart"/>
          </w:tcPr>
          <w:p w14:paraId="427DE13F" w14:textId="3B21CEAC" w:rsidR="00BD3C02" w:rsidRPr="00CA2EA1" w:rsidRDefault="00BD3C02" w:rsidP="001B7BB1">
            <w:pPr>
              <w:adjustRightInd w:val="0"/>
              <w:snapToGrid w:val="0"/>
              <w:jc w:val="center"/>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Cohen's </w:t>
            </w:r>
            <w:r w:rsidRPr="00CA2EA1">
              <w:rPr>
                <w:rFonts w:ascii="Times New Roman" w:eastAsia="Times New Roman" w:hAnsi="Times New Roman" w:cs="Times New Roman"/>
                <w:b/>
                <w:bCs/>
                <w:i/>
                <w:iCs/>
                <w:color w:val="000000"/>
                <w:kern w:val="0"/>
                <w:szCs w:val="24"/>
                <w14:ligatures w14:val="none"/>
              </w:rPr>
              <w:t>d</w:t>
            </w:r>
          </w:p>
        </w:tc>
      </w:tr>
      <w:tr w:rsidR="00BD3C02" w:rsidRPr="00CA2EA1" w14:paraId="567E7EA0" w14:textId="77777777" w:rsidTr="001B7BB1">
        <w:tc>
          <w:tcPr>
            <w:tcW w:w="2689" w:type="dxa"/>
            <w:vMerge/>
          </w:tcPr>
          <w:p w14:paraId="57B9B48B" w14:textId="77777777" w:rsidR="00BD3C02" w:rsidRPr="00CA2EA1" w:rsidRDefault="00BD3C02" w:rsidP="00BD3C02">
            <w:pPr>
              <w:adjustRightInd w:val="0"/>
              <w:snapToGrid w:val="0"/>
              <w:jc w:val="both"/>
              <w:rPr>
                <w:rFonts w:ascii="Times New Roman" w:eastAsia="Times New Roman" w:hAnsi="Times New Roman" w:cs="Times New Roman"/>
                <w:b/>
                <w:bCs/>
                <w:color w:val="000000"/>
                <w:kern w:val="0"/>
                <w:szCs w:val="24"/>
                <w14:ligatures w14:val="none"/>
              </w:rPr>
            </w:pPr>
          </w:p>
        </w:tc>
        <w:tc>
          <w:tcPr>
            <w:tcW w:w="1427" w:type="dxa"/>
          </w:tcPr>
          <w:p w14:paraId="0A5021EC" w14:textId="454CAAFC" w:rsidR="00BD3C02" w:rsidRPr="00CA2EA1" w:rsidRDefault="00BD3C02" w:rsidP="00BD3C02">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(M ± SD)</w:t>
            </w:r>
          </w:p>
        </w:tc>
        <w:tc>
          <w:tcPr>
            <w:tcW w:w="1538" w:type="dxa"/>
          </w:tcPr>
          <w:p w14:paraId="3F322404" w14:textId="6BAD017A" w:rsidR="00BD3C02" w:rsidRPr="00CA2EA1" w:rsidRDefault="00BD3C02" w:rsidP="00BD3C02">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(M ± SD)</w:t>
            </w:r>
          </w:p>
        </w:tc>
        <w:tc>
          <w:tcPr>
            <w:tcW w:w="939" w:type="dxa"/>
            <w:vMerge/>
          </w:tcPr>
          <w:p w14:paraId="019C79A9" w14:textId="77777777" w:rsidR="00BD3C02" w:rsidRPr="00CA2EA1" w:rsidRDefault="00BD3C02" w:rsidP="00BD3C02">
            <w:pPr>
              <w:adjustRightInd w:val="0"/>
              <w:snapToGrid w:val="0"/>
              <w:jc w:val="both"/>
              <w:rPr>
                <w:rFonts w:ascii="Times New Roman" w:eastAsia="Times New Roman" w:hAnsi="Times New Roman" w:cs="Times New Roman"/>
                <w:i/>
                <w:iCs/>
                <w:color w:val="000000"/>
                <w:kern w:val="0"/>
                <w:szCs w:val="24"/>
                <w14:ligatures w14:val="none"/>
              </w:rPr>
            </w:pPr>
          </w:p>
        </w:tc>
        <w:tc>
          <w:tcPr>
            <w:tcW w:w="756" w:type="dxa"/>
            <w:vMerge/>
          </w:tcPr>
          <w:p w14:paraId="6AF3F174" w14:textId="77777777" w:rsidR="00BD3C02" w:rsidRPr="00CA2EA1" w:rsidRDefault="00BD3C02" w:rsidP="00BD3C02">
            <w:pPr>
              <w:adjustRightInd w:val="0"/>
              <w:snapToGrid w:val="0"/>
              <w:jc w:val="both"/>
              <w:rPr>
                <w:rFonts w:ascii="Times New Roman" w:eastAsia="Times New Roman" w:hAnsi="Times New Roman" w:cs="Times New Roman"/>
                <w:i/>
                <w:iCs/>
                <w:color w:val="000000"/>
                <w:kern w:val="0"/>
                <w:szCs w:val="24"/>
                <w14:ligatures w14:val="none"/>
              </w:rPr>
            </w:pPr>
          </w:p>
        </w:tc>
        <w:tc>
          <w:tcPr>
            <w:tcW w:w="1429" w:type="dxa"/>
            <w:vMerge/>
          </w:tcPr>
          <w:p w14:paraId="2B82DDAA" w14:textId="77777777" w:rsidR="00BD3C02" w:rsidRPr="00CA2EA1" w:rsidRDefault="00BD3C02" w:rsidP="00BD3C02">
            <w:pPr>
              <w:adjustRightInd w:val="0"/>
              <w:snapToGrid w:val="0"/>
              <w:jc w:val="both"/>
              <w:rPr>
                <w:rFonts w:ascii="Times New Roman" w:eastAsia="Times New Roman" w:hAnsi="Times New Roman" w:cs="Times New Roman"/>
                <w:i/>
                <w:iCs/>
                <w:color w:val="000000"/>
                <w:kern w:val="0"/>
                <w:szCs w:val="24"/>
                <w14:ligatures w14:val="none"/>
              </w:rPr>
            </w:pPr>
          </w:p>
        </w:tc>
      </w:tr>
      <w:tr w:rsidR="00BD3C02" w:rsidRPr="00CA2EA1" w14:paraId="7083C9D7" w14:textId="77777777" w:rsidTr="001B7BB1">
        <w:tc>
          <w:tcPr>
            <w:tcW w:w="8778" w:type="dxa"/>
            <w:gridSpan w:val="6"/>
          </w:tcPr>
          <w:p w14:paraId="4FE76483" w14:textId="6F7DE199" w:rsidR="00BD3C02" w:rsidRPr="00CA2EA1" w:rsidRDefault="00BD3C02" w:rsidP="00BD3C02">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Locomotor Subtest</w:t>
            </w:r>
          </w:p>
        </w:tc>
      </w:tr>
      <w:tr w:rsidR="00BD3C02" w:rsidRPr="00CA2EA1" w14:paraId="095AD43A" w14:textId="77777777" w:rsidTr="001B7BB1">
        <w:tc>
          <w:tcPr>
            <w:tcW w:w="2689" w:type="dxa"/>
          </w:tcPr>
          <w:p w14:paraId="0A3EAB80" w14:textId="7C8C76EE" w:rsidR="00BD3C02" w:rsidRPr="00CA2EA1" w:rsidRDefault="00BD3C02" w:rsidP="00BD3C02">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1. Run</w:t>
            </w:r>
          </w:p>
        </w:tc>
        <w:tc>
          <w:tcPr>
            <w:tcW w:w="1427" w:type="dxa"/>
          </w:tcPr>
          <w:p w14:paraId="21461402" w14:textId="33BB7BB4" w:rsidR="00BD3C02" w:rsidRPr="00CA2EA1" w:rsidRDefault="00BD3C02" w:rsidP="001B7BB1">
            <w:pPr>
              <w:adjustRightInd w:val="0"/>
              <w:snapToGrid w:val="0"/>
              <w:jc w:val="center"/>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color w:val="000000"/>
                <w:kern w:val="0"/>
                <w:szCs w:val="24"/>
                <w14:ligatures w14:val="none"/>
              </w:rPr>
              <w:t>7.10 ± 0.85</w:t>
            </w:r>
          </w:p>
        </w:tc>
        <w:tc>
          <w:tcPr>
            <w:tcW w:w="1538" w:type="dxa"/>
          </w:tcPr>
          <w:p w14:paraId="187A67A5" w14:textId="3A8569CE" w:rsidR="00BD3C02" w:rsidRPr="00CA2EA1" w:rsidRDefault="00BD3C02" w:rsidP="001B7BB1">
            <w:pPr>
              <w:adjustRightInd w:val="0"/>
              <w:snapToGrid w:val="0"/>
              <w:jc w:val="center"/>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color w:val="000000"/>
                <w:kern w:val="0"/>
                <w:szCs w:val="24"/>
                <w14:ligatures w14:val="none"/>
              </w:rPr>
              <w:t>5.20 ± 1.05</w:t>
            </w:r>
          </w:p>
        </w:tc>
        <w:tc>
          <w:tcPr>
            <w:tcW w:w="939" w:type="dxa"/>
          </w:tcPr>
          <w:p w14:paraId="2AE6F365" w14:textId="2B38CD44" w:rsidR="00BD3C02" w:rsidRPr="00CA2EA1" w:rsidRDefault="00BD3C02" w:rsidP="001B7BB1">
            <w:pPr>
              <w:adjustRightInd w:val="0"/>
              <w:snapToGrid w:val="0"/>
              <w:jc w:val="center"/>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color w:val="000000"/>
                <w:kern w:val="0"/>
                <w:szCs w:val="24"/>
                <w14:ligatures w14:val="none"/>
              </w:rPr>
              <w:t>7.71</w:t>
            </w:r>
          </w:p>
        </w:tc>
        <w:tc>
          <w:tcPr>
            <w:tcW w:w="756" w:type="dxa"/>
          </w:tcPr>
          <w:p w14:paraId="791423FC" w14:textId="67DC5BA7" w:rsidR="00BD3C02" w:rsidRPr="00CA2EA1" w:rsidRDefault="00BD3C02" w:rsidP="001B7BB1">
            <w:pPr>
              <w:adjustRightInd w:val="0"/>
              <w:snapToGrid w:val="0"/>
              <w:jc w:val="center"/>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00C42504"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14B56087" w14:textId="2FF9BCA7" w:rsidR="00BD3C02" w:rsidRPr="00CA2EA1" w:rsidRDefault="00BD3C02" w:rsidP="001B7BB1">
            <w:pPr>
              <w:adjustRightInd w:val="0"/>
              <w:snapToGrid w:val="0"/>
              <w:jc w:val="center"/>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color w:val="000000"/>
                <w:kern w:val="0"/>
                <w:szCs w:val="24"/>
                <w14:ligatures w14:val="none"/>
              </w:rPr>
              <w:t>1.99</w:t>
            </w:r>
          </w:p>
        </w:tc>
      </w:tr>
      <w:tr w:rsidR="00C42504" w:rsidRPr="00CA2EA1" w14:paraId="237C0EC9" w14:textId="77777777" w:rsidTr="001B7BB1">
        <w:tc>
          <w:tcPr>
            <w:tcW w:w="2689" w:type="dxa"/>
          </w:tcPr>
          <w:p w14:paraId="1366647C" w14:textId="69500BDC"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 Gallop</w:t>
            </w:r>
          </w:p>
        </w:tc>
        <w:tc>
          <w:tcPr>
            <w:tcW w:w="1427" w:type="dxa"/>
          </w:tcPr>
          <w:p w14:paraId="5A299BC6" w14:textId="3EE3E4C4"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6.80 ± 0.90</w:t>
            </w:r>
          </w:p>
        </w:tc>
        <w:tc>
          <w:tcPr>
            <w:tcW w:w="1538" w:type="dxa"/>
          </w:tcPr>
          <w:p w14:paraId="0949D3A6" w14:textId="47CC17FB"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4.50 ± 1.10</w:t>
            </w:r>
          </w:p>
        </w:tc>
        <w:tc>
          <w:tcPr>
            <w:tcW w:w="939" w:type="dxa"/>
          </w:tcPr>
          <w:p w14:paraId="70493D2D" w14:textId="7BC0DDC8"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8.85</w:t>
            </w:r>
          </w:p>
        </w:tc>
        <w:tc>
          <w:tcPr>
            <w:tcW w:w="756" w:type="dxa"/>
          </w:tcPr>
          <w:p w14:paraId="44BCD831" w14:textId="656DD119"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1BBE9869" w14:textId="4CF0D27E"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2.28</w:t>
            </w:r>
          </w:p>
        </w:tc>
      </w:tr>
      <w:tr w:rsidR="00C42504" w:rsidRPr="00CA2EA1" w14:paraId="35C196E5" w14:textId="77777777" w:rsidTr="001B7BB1">
        <w:tc>
          <w:tcPr>
            <w:tcW w:w="2689" w:type="dxa"/>
          </w:tcPr>
          <w:p w14:paraId="69CC8D7F" w14:textId="5EC6A309"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 Hop</w:t>
            </w:r>
          </w:p>
        </w:tc>
        <w:tc>
          <w:tcPr>
            <w:tcW w:w="1427" w:type="dxa"/>
          </w:tcPr>
          <w:p w14:paraId="675D3C81" w14:textId="056973EE"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8.10 ± 1.15</w:t>
            </w:r>
          </w:p>
        </w:tc>
        <w:tc>
          <w:tcPr>
            <w:tcW w:w="1538" w:type="dxa"/>
          </w:tcPr>
          <w:p w14:paraId="7EE710A7" w14:textId="399114E7"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5.80 ± 1.20</w:t>
            </w:r>
          </w:p>
        </w:tc>
        <w:tc>
          <w:tcPr>
            <w:tcW w:w="939" w:type="dxa"/>
          </w:tcPr>
          <w:p w14:paraId="0176D72D" w14:textId="0DDBB88A"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7.57</w:t>
            </w:r>
          </w:p>
        </w:tc>
        <w:tc>
          <w:tcPr>
            <w:tcW w:w="756" w:type="dxa"/>
          </w:tcPr>
          <w:p w14:paraId="47297A3E" w14:textId="113B67A3"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1D436C67" w14:textId="4AE368E5"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1.95</w:t>
            </w:r>
          </w:p>
        </w:tc>
      </w:tr>
      <w:tr w:rsidR="00C42504" w:rsidRPr="00CA2EA1" w14:paraId="0523D743" w14:textId="77777777" w:rsidTr="001B7BB1">
        <w:tc>
          <w:tcPr>
            <w:tcW w:w="2689" w:type="dxa"/>
          </w:tcPr>
          <w:p w14:paraId="19269A23" w14:textId="4B05D4C5"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 Skip</w:t>
            </w:r>
          </w:p>
        </w:tc>
        <w:tc>
          <w:tcPr>
            <w:tcW w:w="1427" w:type="dxa"/>
          </w:tcPr>
          <w:p w14:paraId="78F3F08D" w14:textId="39C06295"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5.20 ± 0.80</w:t>
            </w:r>
          </w:p>
        </w:tc>
        <w:tc>
          <w:tcPr>
            <w:tcW w:w="1538" w:type="dxa"/>
          </w:tcPr>
          <w:p w14:paraId="41604822" w14:textId="2492BFE1"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3.10 ± 0.95</w:t>
            </w:r>
          </w:p>
        </w:tc>
        <w:tc>
          <w:tcPr>
            <w:tcW w:w="939" w:type="dxa"/>
          </w:tcPr>
          <w:p w14:paraId="25BC2462" w14:textId="2CD7D4BC"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9.25</w:t>
            </w:r>
          </w:p>
        </w:tc>
        <w:tc>
          <w:tcPr>
            <w:tcW w:w="756" w:type="dxa"/>
          </w:tcPr>
          <w:p w14:paraId="3DCC89E2" w14:textId="3518C23A"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6AD28B79" w14:textId="467B0D8C"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2.39</w:t>
            </w:r>
          </w:p>
        </w:tc>
      </w:tr>
      <w:tr w:rsidR="00C42504" w:rsidRPr="00CA2EA1" w14:paraId="5D8DED75" w14:textId="77777777" w:rsidTr="001B7BB1">
        <w:tc>
          <w:tcPr>
            <w:tcW w:w="2689" w:type="dxa"/>
          </w:tcPr>
          <w:p w14:paraId="297417B3" w14:textId="28DB8BAE"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 Horizontal Jump</w:t>
            </w:r>
          </w:p>
        </w:tc>
        <w:tc>
          <w:tcPr>
            <w:tcW w:w="1427" w:type="dxa"/>
          </w:tcPr>
          <w:p w14:paraId="65BE040B" w14:textId="098A5474"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6.50 ± 0.85</w:t>
            </w:r>
          </w:p>
        </w:tc>
        <w:tc>
          <w:tcPr>
            <w:tcW w:w="1538" w:type="dxa"/>
          </w:tcPr>
          <w:p w14:paraId="45AE07EA" w14:textId="1AD68922"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4.40 ± 0.90</w:t>
            </w:r>
          </w:p>
        </w:tc>
        <w:tc>
          <w:tcPr>
            <w:tcW w:w="939" w:type="dxa"/>
          </w:tcPr>
          <w:p w14:paraId="407287C1" w14:textId="3357B086"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9.27</w:t>
            </w:r>
          </w:p>
        </w:tc>
        <w:tc>
          <w:tcPr>
            <w:tcW w:w="756" w:type="dxa"/>
          </w:tcPr>
          <w:p w14:paraId="04CED899" w14:textId="5654FC6A"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0E582520" w14:textId="3406BF14"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2.39</w:t>
            </w:r>
          </w:p>
        </w:tc>
      </w:tr>
      <w:tr w:rsidR="00C42504" w:rsidRPr="00CA2EA1" w14:paraId="332EFBC7" w14:textId="77777777" w:rsidTr="001B7BB1">
        <w:tc>
          <w:tcPr>
            <w:tcW w:w="2689" w:type="dxa"/>
          </w:tcPr>
          <w:p w14:paraId="2389FA50" w14:textId="2C7DD19E"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 Slide</w:t>
            </w:r>
          </w:p>
        </w:tc>
        <w:tc>
          <w:tcPr>
            <w:tcW w:w="1427" w:type="dxa"/>
          </w:tcPr>
          <w:p w14:paraId="7F54951E" w14:textId="71DF6972"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4.76 ± 0.75</w:t>
            </w:r>
          </w:p>
        </w:tc>
        <w:tc>
          <w:tcPr>
            <w:tcW w:w="1538" w:type="dxa"/>
          </w:tcPr>
          <w:p w14:paraId="6AE999BB" w14:textId="22DD2C75"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3.50 ± 0.80</w:t>
            </w:r>
          </w:p>
        </w:tc>
        <w:tc>
          <w:tcPr>
            <w:tcW w:w="939" w:type="dxa"/>
          </w:tcPr>
          <w:p w14:paraId="1EBB821D" w14:textId="19FF4984"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6.28</w:t>
            </w:r>
          </w:p>
        </w:tc>
        <w:tc>
          <w:tcPr>
            <w:tcW w:w="756" w:type="dxa"/>
          </w:tcPr>
          <w:p w14:paraId="1A7B4AA9" w14:textId="46C78702"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06EBEABF" w14:textId="232D9A5E"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1.62</w:t>
            </w:r>
          </w:p>
        </w:tc>
      </w:tr>
      <w:tr w:rsidR="00C42504" w:rsidRPr="00CA2EA1" w14:paraId="005B1F91" w14:textId="77777777" w:rsidTr="001B7BB1">
        <w:tc>
          <w:tcPr>
            <w:tcW w:w="2689" w:type="dxa"/>
          </w:tcPr>
          <w:p w14:paraId="48713F53" w14:textId="42D6B7E5"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Total Locomotor Score</w:t>
            </w:r>
          </w:p>
        </w:tc>
        <w:tc>
          <w:tcPr>
            <w:tcW w:w="1427" w:type="dxa"/>
          </w:tcPr>
          <w:p w14:paraId="3B9740B3" w14:textId="4259AB34"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38.46 ± 2.62</w:t>
            </w:r>
          </w:p>
        </w:tc>
        <w:tc>
          <w:tcPr>
            <w:tcW w:w="1538" w:type="dxa"/>
          </w:tcPr>
          <w:p w14:paraId="3499DBEF" w14:textId="0509B80B"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26.50 ± 3.15</w:t>
            </w:r>
          </w:p>
        </w:tc>
        <w:tc>
          <w:tcPr>
            <w:tcW w:w="939" w:type="dxa"/>
          </w:tcPr>
          <w:p w14:paraId="0D972F8D" w14:textId="60E642C7"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15.98</w:t>
            </w:r>
          </w:p>
        </w:tc>
        <w:tc>
          <w:tcPr>
            <w:tcW w:w="756" w:type="dxa"/>
          </w:tcPr>
          <w:p w14:paraId="7C07F1E3" w14:textId="7C827D9D"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57D77E1C" w14:textId="24E8469F"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4.13</w:t>
            </w:r>
          </w:p>
        </w:tc>
      </w:tr>
      <w:tr w:rsidR="00BD3C02" w:rsidRPr="00CA2EA1" w14:paraId="2044CECC" w14:textId="77777777" w:rsidTr="001B7BB1">
        <w:tc>
          <w:tcPr>
            <w:tcW w:w="8778" w:type="dxa"/>
            <w:gridSpan w:val="6"/>
          </w:tcPr>
          <w:p w14:paraId="48CEEA08" w14:textId="7FF6803C" w:rsidR="00BD3C02" w:rsidRPr="00CA2EA1" w:rsidRDefault="00BD3C02" w:rsidP="001B7BB1">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Object Control Subtest</w:t>
            </w:r>
          </w:p>
        </w:tc>
      </w:tr>
      <w:tr w:rsidR="00C42504" w:rsidRPr="00CA2EA1" w14:paraId="0CCAC1F3" w14:textId="77777777" w:rsidTr="001B7BB1">
        <w:tc>
          <w:tcPr>
            <w:tcW w:w="2689" w:type="dxa"/>
          </w:tcPr>
          <w:p w14:paraId="09EBFEA9" w14:textId="597F45C4"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7. Two-hand strike</w:t>
            </w:r>
          </w:p>
        </w:tc>
        <w:tc>
          <w:tcPr>
            <w:tcW w:w="1427" w:type="dxa"/>
          </w:tcPr>
          <w:p w14:paraId="3D955F61" w14:textId="02A45CC7" w:rsidR="00C42504" w:rsidRPr="00CA2EA1" w:rsidRDefault="00C42504" w:rsidP="001B7BB1">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8.20 ± 0.95</w:t>
            </w:r>
          </w:p>
        </w:tc>
        <w:tc>
          <w:tcPr>
            <w:tcW w:w="1538" w:type="dxa"/>
          </w:tcPr>
          <w:p w14:paraId="2678D8BE" w14:textId="7687F955" w:rsidR="00C42504" w:rsidRPr="00CA2EA1" w:rsidRDefault="00C42504" w:rsidP="001B7BB1">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5.50 ± 1.15</w:t>
            </w:r>
          </w:p>
        </w:tc>
        <w:tc>
          <w:tcPr>
            <w:tcW w:w="939" w:type="dxa"/>
          </w:tcPr>
          <w:p w14:paraId="051FB5F6" w14:textId="5975372D" w:rsidR="00C42504" w:rsidRPr="00CA2EA1" w:rsidRDefault="00C42504" w:rsidP="001B7BB1">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9.91</w:t>
            </w:r>
          </w:p>
        </w:tc>
        <w:tc>
          <w:tcPr>
            <w:tcW w:w="756" w:type="dxa"/>
          </w:tcPr>
          <w:p w14:paraId="2C94560A" w14:textId="53E5C50F" w:rsidR="00C42504" w:rsidRPr="00CA2EA1" w:rsidRDefault="00C42504" w:rsidP="001B7BB1">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51B595E6" w14:textId="2DA3F93A" w:rsidR="00C42504" w:rsidRPr="00CA2EA1" w:rsidRDefault="00C42504" w:rsidP="001B7BB1">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2.56</w:t>
            </w:r>
          </w:p>
        </w:tc>
      </w:tr>
      <w:tr w:rsidR="00C42504" w:rsidRPr="00CA2EA1" w14:paraId="2678383A" w14:textId="77777777" w:rsidTr="001B7BB1">
        <w:tc>
          <w:tcPr>
            <w:tcW w:w="2689" w:type="dxa"/>
          </w:tcPr>
          <w:p w14:paraId="48742B0B" w14:textId="6D11CB61"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8. Forehand strike</w:t>
            </w:r>
          </w:p>
        </w:tc>
        <w:tc>
          <w:tcPr>
            <w:tcW w:w="1427" w:type="dxa"/>
          </w:tcPr>
          <w:p w14:paraId="2BA41BFD" w14:textId="5EB43EEC"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6.10 ± 0.85</w:t>
            </w:r>
          </w:p>
        </w:tc>
        <w:tc>
          <w:tcPr>
            <w:tcW w:w="1538" w:type="dxa"/>
          </w:tcPr>
          <w:p w14:paraId="51D28E54" w14:textId="43DED926"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4.20 ± 0.95</w:t>
            </w:r>
          </w:p>
        </w:tc>
        <w:tc>
          <w:tcPr>
            <w:tcW w:w="939" w:type="dxa"/>
          </w:tcPr>
          <w:p w14:paraId="15AB090E" w14:textId="573D527B"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8.16</w:t>
            </w:r>
          </w:p>
        </w:tc>
        <w:tc>
          <w:tcPr>
            <w:tcW w:w="756" w:type="dxa"/>
          </w:tcPr>
          <w:p w14:paraId="5D871E13" w14:textId="2BDD56A4"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23999D64" w14:textId="0F7E1218"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2.10</w:t>
            </w:r>
          </w:p>
        </w:tc>
      </w:tr>
      <w:tr w:rsidR="00C42504" w:rsidRPr="00CA2EA1" w14:paraId="57D2D630" w14:textId="77777777" w:rsidTr="001B7BB1">
        <w:tc>
          <w:tcPr>
            <w:tcW w:w="2689" w:type="dxa"/>
          </w:tcPr>
          <w:p w14:paraId="3FECC112" w14:textId="4E6FDB69"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9. Stationary dribble</w:t>
            </w:r>
          </w:p>
        </w:tc>
        <w:tc>
          <w:tcPr>
            <w:tcW w:w="1427" w:type="dxa"/>
          </w:tcPr>
          <w:p w14:paraId="78B7B836" w14:textId="34411B2B"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4.80 ± 0.80</w:t>
            </w:r>
          </w:p>
        </w:tc>
        <w:tc>
          <w:tcPr>
            <w:tcW w:w="1538" w:type="dxa"/>
          </w:tcPr>
          <w:p w14:paraId="3B22E64E" w14:textId="40BC1A29"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3.10 ± 0.90</w:t>
            </w:r>
          </w:p>
        </w:tc>
        <w:tc>
          <w:tcPr>
            <w:tcW w:w="939" w:type="dxa"/>
          </w:tcPr>
          <w:p w14:paraId="44EA0D63" w14:textId="0B44730F"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7.72</w:t>
            </w:r>
          </w:p>
        </w:tc>
        <w:tc>
          <w:tcPr>
            <w:tcW w:w="756" w:type="dxa"/>
          </w:tcPr>
          <w:p w14:paraId="62105AA4" w14:textId="05F99E46"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287230F4" w14:textId="5896AF18"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1.99</w:t>
            </w:r>
          </w:p>
        </w:tc>
      </w:tr>
      <w:tr w:rsidR="00C42504" w:rsidRPr="00CA2EA1" w14:paraId="569CF3AD" w14:textId="77777777" w:rsidTr="001B7BB1">
        <w:tc>
          <w:tcPr>
            <w:tcW w:w="2689" w:type="dxa"/>
          </w:tcPr>
          <w:p w14:paraId="7AD7E6F6" w14:textId="5E3D2536"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10. Two-hand catch</w:t>
            </w:r>
          </w:p>
        </w:tc>
        <w:tc>
          <w:tcPr>
            <w:tcW w:w="1427" w:type="dxa"/>
          </w:tcPr>
          <w:p w14:paraId="47C460C8" w14:textId="6AC98200"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5.10 ± 0.70</w:t>
            </w:r>
          </w:p>
        </w:tc>
        <w:tc>
          <w:tcPr>
            <w:tcW w:w="1538" w:type="dxa"/>
          </w:tcPr>
          <w:p w14:paraId="53C1A468" w14:textId="4F8D1DBB"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3.50 ± 0.85</w:t>
            </w:r>
          </w:p>
        </w:tc>
        <w:tc>
          <w:tcPr>
            <w:tcW w:w="939" w:type="dxa"/>
          </w:tcPr>
          <w:p w14:paraId="46CD1C1F" w14:textId="73BA5FC7"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7.96</w:t>
            </w:r>
          </w:p>
        </w:tc>
        <w:tc>
          <w:tcPr>
            <w:tcW w:w="756" w:type="dxa"/>
          </w:tcPr>
          <w:p w14:paraId="45BCB225" w14:textId="4339331B"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730B09F5" w14:textId="2B435B75"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2.05</w:t>
            </w:r>
          </w:p>
        </w:tc>
      </w:tr>
      <w:tr w:rsidR="00C42504" w:rsidRPr="00CA2EA1" w14:paraId="0BCBD269" w14:textId="77777777" w:rsidTr="001B7BB1">
        <w:tc>
          <w:tcPr>
            <w:tcW w:w="2689" w:type="dxa"/>
          </w:tcPr>
          <w:p w14:paraId="24A05E90" w14:textId="2553AEC2"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11. Kick a stationary ball</w:t>
            </w:r>
          </w:p>
        </w:tc>
        <w:tc>
          <w:tcPr>
            <w:tcW w:w="1427" w:type="dxa"/>
          </w:tcPr>
          <w:p w14:paraId="37588BFC" w14:textId="16640D30"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6.50 ± 0.90</w:t>
            </w:r>
          </w:p>
        </w:tc>
        <w:tc>
          <w:tcPr>
            <w:tcW w:w="1538" w:type="dxa"/>
          </w:tcPr>
          <w:p w14:paraId="5AFF1BEF" w14:textId="175AB392"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4.80 ± 1.00</w:t>
            </w:r>
          </w:p>
        </w:tc>
        <w:tc>
          <w:tcPr>
            <w:tcW w:w="939" w:type="dxa"/>
          </w:tcPr>
          <w:p w14:paraId="07DF946B" w14:textId="0DA7A64F"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6.92</w:t>
            </w:r>
          </w:p>
        </w:tc>
        <w:tc>
          <w:tcPr>
            <w:tcW w:w="756" w:type="dxa"/>
          </w:tcPr>
          <w:p w14:paraId="274D7243" w14:textId="002201A3"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61254051" w14:textId="6F55ABC4"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1.78</w:t>
            </w:r>
          </w:p>
        </w:tc>
      </w:tr>
      <w:tr w:rsidR="00C42504" w:rsidRPr="00CA2EA1" w14:paraId="5481A104" w14:textId="77777777" w:rsidTr="001B7BB1">
        <w:tc>
          <w:tcPr>
            <w:tcW w:w="2689" w:type="dxa"/>
          </w:tcPr>
          <w:p w14:paraId="080ABC91" w14:textId="0C0AF0BF"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12. Overhand throw</w:t>
            </w:r>
          </w:p>
        </w:tc>
        <w:tc>
          <w:tcPr>
            <w:tcW w:w="1427" w:type="dxa"/>
          </w:tcPr>
          <w:p w14:paraId="1EF0A8EC" w14:textId="1AC27E25"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6.20 ± 0.85</w:t>
            </w:r>
          </w:p>
        </w:tc>
        <w:tc>
          <w:tcPr>
            <w:tcW w:w="1538" w:type="dxa"/>
          </w:tcPr>
          <w:p w14:paraId="118D1997" w14:textId="326E121B"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4.10 ± 0.90</w:t>
            </w:r>
          </w:p>
        </w:tc>
        <w:tc>
          <w:tcPr>
            <w:tcW w:w="939" w:type="dxa"/>
          </w:tcPr>
          <w:p w14:paraId="6D1B5DA4" w14:textId="43B96648"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9.29</w:t>
            </w:r>
          </w:p>
        </w:tc>
        <w:tc>
          <w:tcPr>
            <w:tcW w:w="756" w:type="dxa"/>
          </w:tcPr>
          <w:p w14:paraId="4DE447BA" w14:textId="70A56C05"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49A07AAB" w14:textId="1C530FE1"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2.39</w:t>
            </w:r>
          </w:p>
        </w:tc>
      </w:tr>
      <w:tr w:rsidR="00C42504" w:rsidRPr="00CA2EA1" w14:paraId="548168A0" w14:textId="77777777" w:rsidTr="001B7BB1">
        <w:tc>
          <w:tcPr>
            <w:tcW w:w="2689" w:type="dxa"/>
          </w:tcPr>
          <w:p w14:paraId="7AE94A63" w14:textId="0397A51C"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13. Underhand roll</w:t>
            </w:r>
          </w:p>
        </w:tc>
        <w:tc>
          <w:tcPr>
            <w:tcW w:w="1427" w:type="dxa"/>
          </w:tcPr>
          <w:p w14:paraId="62D7ADFA" w14:textId="6BA5E302"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5.20 ± 0.85</w:t>
            </w:r>
          </w:p>
        </w:tc>
        <w:tc>
          <w:tcPr>
            <w:tcW w:w="1538" w:type="dxa"/>
          </w:tcPr>
          <w:p w14:paraId="073A2CF6" w14:textId="5602BAA3"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3.13 ± 0.95</w:t>
            </w:r>
          </w:p>
        </w:tc>
        <w:tc>
          <w:tcPr>
            <w:tcW w:w="939" w:type="dxa"/>
          </w:tcPr>
          <w:p w14:paraId="5DDB8460" w14:textId="41BEE33F"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8.89</w:t>
            </w:r>
          </w:p>
        </w:tc>
        <w:tc>
          <w:tcPr>
            <w:tcW w:w="756" w:type="dxa"/>
          </w:tcPr>
          <w:p w14:paraId="49723AC1" w14:textId="1FF0A027"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3E44DCD3" w14:textId="27C68FFF"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2.29</w:t>
            </w:r>
          </w:p>
        </w:tc>
      </w:tr>
      <w:tr w:rsidR="00C42504" w:rsidRPr="00CA2EA1" w14:paraId="1B9C2702" w14:textId="77777777" w:rsidTr="001B7BB1">
        <w:tc>
          <w:tcPr>
            <w:tcW w:w="2689" w:type="dxa"/>
          </w:tcPr>
          <w:p w14:paraId="14CD4806" w14:textId="50912D00"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Total Object Control Score</w:t>
            </w:r>
          </w:p>
        </w:tc>
        <w:tc>
          <w:tcPr>
            <w:tcW w:w="1427" w:type="dxa"/>
          </w:tcPr>
          <w:p w14:paraId="2250C5B4" w14:textId="6C783875"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42.10 ± 3.41</w:t>
            </w:r>
          </w:p>
        </w:tc>
        <w:tc>
          <w:tcPr>
            <w:tcW w:w="1538" w:type="dxa"/>
          </w:tcPr>
          <w:p w14:paraId="0FBD54B9" w14:textId="5B1ACA14"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28.33 ± 3.82</w:t>
            </w:r>
          </w:p>
        </w:tc>
        <w:tc>
          <w:tcPr>
            <w:tcW w:w="939" w:type="dxa"/>
          </w:tcPr>
          <w:p w14:paraId="6D67F7E0" w14:textId="2DC7388F"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14.73</w:t>
            </w:r>
          </w:p>
        </w:tc>
        <w:tc>
          <w:tcPr>
            <w:tcW w:w="756" w:type="dxa"/>
          </w:tcPr>
          <w:p w14:paraId="489D2ED5" w14:textId="4D663588"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511A6EC7" w14:textId="58AFD3CA" w:rsidR="00C42504" w:rsidRPr="00CA2EA1" w:rsidRDefault="00C42504" w:rsidP="001B7BB1">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3.80</w:t>
            </w:r>
          </w:p>
        </w:tc>
      </w:tr>
      <w:tr w:rsidR="00C42504" w:rsidRPr="00CA2EA1" w14:paraId="3C90359D" w14:textId="77777777" w:rsidTr="001B7BB1">
        <w:tc>
          <w:tcPr>
            <w:tcW w:w="2689" w:type="dxa"/>
          </w:tcPr>
          <w:p w14:paraId="39C74DF1" w14:textId="03658D6C"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Total Gross Motor Score</w:t>
            </w:r>
          </w:p>
        </w:tc>
        <w:tc>
          <w:tcPr>
            <w:tcW w:w="1427" w:type="dxa"/>
          </w:tcPr>
          <w:p w14:paraId="2E05DEA2" w14:textId="69EF235A"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80.56 ± 5.12</w:t>
            </w:r>
          </w:p>
        </w:tc>
        <w:tc>
          <w:tcPr>
            <w:tcW w:w="1538" w:type="dxa"/>
          </w:tcPr>
          <w:p w14:paraId="323ABCA7" w14:textId="162C199A"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54.83 ± 6.01</w:t>
            </w:r>
          </w:p>
        </w:tc>
        <w:tc>
          <w:tcPr>
            <w:tcW w:w="939" w:type="dxa"/>
          </w:tcPr>
          <w:p w14:paraId="1264174E" w14:textId="34DEDD9F"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17.84</w:t>
            </w:r>
          </w:p>
        </w:tc>
        <w:tc>
          <w:tcPr>
            <w:tcW w:w="756" w:type="dxa"/>
          </w:tcPr>
          <w:p w14:paraId="24DECD80" w14:textId="2D0E6EBF"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.00</w:t>
            </w:r>
            <w:r w:rsidRPr="00CA2EA1">
              <w:rPr>
                <w:rFonts w:ascii="Times New Roman" w:eastAsia="Times New Roman" w:hAnsi="Times New Roman" w:cs="Times New Roman"/>
                <w:color w:val="000000"/>
                <w:kern w:val="0"/>
                <w:szCs w:val="24"/>
                <w:lang w:val="en-US"/>
                <w14:ligatures w14:val="none"/>
              </w:rPr>
              <w:t>1</w:t>
            </w:r>
            <w:r w:rsidRPr="00CA2EA1">
              <w:rPr>
                <w:rFonts w:ascii="Times New Roman" w:eastAsia="Times New Roman" w:hAnsi="Times New Roman" w:cs="Times New Roman"/>
                <w:color w:val="000000"/>
                <w:kern w:val="0"/>
                <w:szCs w:val="24"/>
                <w14:ligatures w14:val="none"/>
              </w:rPr>
              <w:t>*</w:t>
            </w:r>
          </w:p>
        </w:tc>
        <w:tc>
          <w:tcPr>
            <w:tcW w:w="1429" w:type="dxa"/>
          </w:tcPr>
          <w:p w14:paraId="127E69E4" w14:textId="5685F7EC"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4.61</w:t>
            </w:r>
          </w:p>
        </w:tc>
      </w:tr>
    </w:tbl>
    <w:p w14:paraId="5434E281" w14:textId="77777777" w:rsidR="0002138F" w:rsidRPr="001B7BB1" w:rsidRDefault="0002138F" w:rsidP="0002138F">
      <w:pPr>
        <w:adjustRightInd w:val="0"/>
        <w:snapToGrid w:val="0"/>
        <w:spacing w:after="0" w:line="240" w:lineRule="auto"/>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 Significant at the .05 level</w:t>
      </w:r>
    </w:p>
    <w:p w14:paraId="6414C072" w14:textId="77777777" w:rsidR="001B7BB1" w:rsidRDefault="001B7BB1"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p>
    <w:p w14:paraId="0BE26388" w14:textId="2E5DEB33" w:rsidR="0002138F" w:rsidRPr="00CA2EA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As indicated in Table 1, the experimental group achieved significantly higher mean scores across all 13 TGMD-3 items compared to the control group (</w:t>
      </w:r>
      <w:r w:rsidRPr="00CA2EA1">
        <w:rPr>
          <w:rFonts w:ascii="Times New Roman" w:eastAsia="Times New Roman" w:hAnsi="Times New Roman" w:cs="Times New Roman"/>
          <w:i/>
          <w:iCs/>
          <w:color w:val="000000"/>
          <w:kern w:val="0"/>
          <w:szCs w:val="24"/>
          <w14:ligatures w14:val="none"/>
        </w:rPr>
        <w:t>p</w:t>
      </w:r>
      <w:r w:rsidRPr="00CA2EA1">
        <w:rPr>
          <w:rFonts w:ascii="Times New Roman" w:eastAsia="Times New Roman" w:hAnsi="Times New Roman" w:cs="Times New Roman"/>
          <w:color w:val="000000"/>
          <w:kern w:val="0"/>
          <w:szCs w:val="24"/>
          <w14:ligatures w14:val="none"/>
        </w:rPr>
        <w:t> &lt; .05). Notably, the calculated effect sizes (Cohen's </w:t>
      </w:r>
      <w:r w:rsidRPr="00CA2EA1">
        <w:rPr>
          <w:rFonts w:ascii="Times New Roman" w:eastAsia="Times New Roman" w:hAnsi="Times New Roman" w:cs="Times New Roman"/>
          <w:i/>
          <w:iCs/>
          <w:color w:val="000000"/>
          <w:kern w:val="0"/>
          <w:szCs w:val="24"/>
          <w14:ligatures w14:val="none"/>
        </w:rPr>
        <w:t>d</w:t>
      </w:r>
      <w:r w:rsidRPr="00CA2EA1">
        <w:rPr>
          <w:rFonts w:ascii="Times New Roman" w:eastAsia="Times New Roman" w:hAnsi="Times New Roman" w:cs="Times New Roman"/>
          <w:color w:val="000000"/>
          <w:kern w:val="0"/>
          <w:szCs w:val="24"/>
          <w14:ligatures w14:val="none"/>
        </w:rPr>
        <w:t>) for the total subtests and individual items were exceptionally large (ranging from 1.62 to 4.61), underscoring a massive practical impact generated by the gamified intervention.</w:t>
      </w:r>
    </w:p>
    <w:p w14:paraId="1111911A" w14:textId="77777777" w:rsidR="001B7BB1" w:rsidRDefault="001B7BB1" w:rsidP="001B7BB1">
      <w:pPr>
        <w:adjustRightInd w:val="0"/>
        <w:snapToGrid w:val="0"/>
        <w:spacing w:after="0" w:line="240" w:lineRule="auto"/>
        <w:jc w:val="both"/>
        <w:outlineLvl w:val="2"/>
        <w:rPr>
          <w:rFonts w:ascii="Times New Roman" w:eastAsia="Times New Roman" w:hAnsi="Times New Roman" w:cs="Times New Roman"/>
          <w:b/>
          <w:bCs/>
          <w:color w:val="000000"/>
          <w:kern w:val="0"/>
          <w:szCs w:val="24"/>
          <w14:ligatures w14:val="none"/>
        </w:rPr>
      </w:pPr>
    </w:p>
    <w:p w14:paraId="071104C5" w14:textId="4BB8F165" w:rsidR="0002138F" w:rsidRPr="00CA2EA1" w:rsidRDefault="0002138F" w:rsidP="001B7BB1">
      <w:pPr>
        <w:adjustRightInd w:val="0"/>
        <w:snapToGrid w:val="0"/>
        <w:spacing w:after="0" w:line="240" w:lineRule="auto"/>
        <w:jc w:val="both"/>
        <w:outlineLvl w:val="2"/>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Part 3: Within-Group Repeated Measures Analysis (Developmental Trajectory)</w:t>
      </w:r>
    </w:p>
    <w:p w14:paraId="32F09B0F" w14:textId="77777777" w:rsidR="0002138F" w:rsidRPr="00CA2EA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To validate the developmental trajectory within the experimental group, a repeated measures ANOVA was executed across all 13 skills over the three testing phases, as presented in Table 2.</w:t>
      </w:r>
    </w:p>
    <w:p w14:paraId="020C5678" w14:textId="77777777" w:rsidR="001B7BB1" w:rsidRDefault="001B7BB1" w:rsidP="0002138F">
      <w:pPr>
        <w:adjustRightInd w:val="0"/>
        <w:snapToGrid w:val="0"/>
        <w:spacing w:after="0" w:line="240" w:lineRule="auto"/>
        <w:jc w:val="both"/>
        <w:rPr>
          <w:rFonts w:ascii="Times New Roman" w:eastAsia="Times New Roman" w:hAnsi="Times New Roman" w:cs="Times New Roman"/>
          <w:b/>
          <w:bCs/>
          <w:color w:val="000000"/>
          <w:kern w:val="0"/>
          <w:szCs w:val="24"/>
          <w14:ligatures w14:val="none"/>
        </w:rPr>
      </w:pPr>
    </w:p>
    <w:p w14:paraId="53796FB5" w14:textId="137B738B" w:rsidR="0002138F" w:rsidRPr="001B7BB1" w:rsidRDefault="0002138F" w:rsidP="0002138F">
      <w:pPr>
        <w:adjustRightInd w:val="0"/>
        <w:snapToGrid w:val="0"/>
        <w:spacing w:after="0" w:line="240" w:lineRule="auto"/>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Table 2:</w:t>
      </w:r>
      <w:r w:rsidRPr="00CA2EA1">
        <w:rPr>
          <w:rFonts w:ascii="Times New Roman" w:eastAsia="Times New Roman" w:hAnsi="Times New Roman" w:cs="Times New Roman"/>
          <w:color w:val="000000"/>
          <w:kern w:val="0"/>
          <w:szCs w:val="24"/>
          <w14:ligatures w14:val="none"/>
        </w:rPr>
        <w:t> </w:t>
      </w:r>
      <w:r w:rsidRPr="001B7BB1">
        <w:rPr>
          <w:rFonts w:ascii="Times New Roman" w:eastAsia="Times New Roman" w:hAnsi="Times New Roman" w:cs="Times New Roman"/>
          <w:color w:val="000000"/>
          <w:kern w:val="0"/>
          <w:szCs w:val="24"/>
          <w14:ligatures w14:val="none"/>
        </w:rPr>
        <w:t>One-way Repeated Measures ANOVA across 13 TGMD-3 Items for the Experimental Group (Pre-test, Mid-test, Post-test)</w:t>
      </w:r>
    </w:p>
    <w:tbl>
      <w:tblPr>
        <w:tblStyle w:val="TableGrid"/>
        <w:tblW w:w="8784" w:type="dxa"/>
        <w:tblLook w:val="04A0" w:firstRow="1" w:lastRow="0" w:firstColumn="1" w:lastColumn="0" w:noHBand="0" w:noVBand="1"/>
      </w:tblPr>
      <w:tblGrid>
        <w:gridCol w:w="1696"/>
        <w:gridCol w:w="1418"/>
        <w:gridCol w:w="1417"/>
        <w:gridCol w:w="1418"/>
        <w:gridCol w:w="992"/>
        <w:gridCol w:w="992"/>
        <w:gridCol w:w="851"/>
      </w:tblGrid>
      <w:tr w:rsidR="00C42504" w:rsidRPr="00CA2EA1" w14:paraId="39718E82" w14:textId="77777777" w:rsidTr="001B7BB1">
        <w:tc>
          <w:tcPr>
            <w:tcW w:w="1696" w:type="dxa"/>
          </w:tcPr>
          <w:p w14:paraId="46E73E31" w14:textId="7A08270F"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TGMD-3 Items</w:t>
            </w:r>
          </w:p>
        </w:tc>
        <w:tc>
          <w:tcPr>
            <w:tcW w:w="1418" w:type="dxa"/>
          </w:tcPr>
          <w:p w14:paraId="25CF52D4" w14:textId="065E384C"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Pre-test</w:t>
            </w:r>
          </w:p>
          <w:p w14:paraId="3049C547" w14:textId="1DA9438B"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(M ± SD)</w:t>
            </w:r>
          </w:p>
        </w:tc>
        <w:tc>
          <w:tcPr>
            <w:tcW w:w="1417" w:type="dxa"/>
          </w:tcPr>
          <w:p w14:paraId="0190EBA4" w14:textId="67A26711"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Mid-test</w:t>
            </w:r>
          </w:p>
          <w:p w14:paraId="192208B7" w14:textId="2FAC9246"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(M ± SD)</w:t>
            </w:r>
          </w:p>
        </w:tc>
        <w:tc>
          <w:tcPr>
            <w:tcW w:w="1418" w:type="dxa"/>
          </w:tcPr>
          <w:p w14:paraId="0A745AE8" w14:textId="5C58DE80"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Post-test</w:t>
            </w:r>
          </w:p>
          <w:p w14:paraId="49B518BD" w14:textId="2CD01C3C"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(M ± SD)</w:t>
            </w:r>
          </w:p>
        </w:tc>
        <w:tc>
          <w:tcPr>
            <w:tcW w:w="992" w:type="dxa"/>
          </w:tcPr>
          <w:p w14:paraId="4382F6B5" w14:textId="7278E91D"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F</w:t>
            </w:r>
          </w:p>
        </w:tc>
        <w:tc>
          <w:tcPr>
            <w:tcW w:w="992" w:type="dxa"/>
          </w:tcPr>
          <w:p w14:paraId="123F54C0" w14:textId="5825701E"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w:t>
            </w:r>
          </w:p>
        </w:tc>
        <w:tc>
          <w:tcPr>
            <w:tcW w:w="851" w:type="dxa"/>
          </w:tcPr>
          <w:p w14:paraId="22A2F8CF" w14:textId="26C10301" w:rsidR="00C42504" w:rsidRPr="00CA2EA1" w:rsidRDefault="00C42504" w:rsidP="00C42504">
            <w:pPr>
              <w:adjustRightInd w:val="0"/>
              <w:snapToGrid w:val="0"/>
              <w:jc w:val="center"/>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i/>
                <w:iCs/>
                <w:color w:val="000000"/>
                <w:kern w:val="0"/>
                <w:szCs w:val="24"/>
                <w14:ligatures w14:val="none"/>
              </w:rPr>
              <w:t>n</w:t>
            </w:r>
            <w:r w:rsidRPr="00CA2EA1">
              <w:rPr>
                <w:rFonts w:ascii="Times New Roman" w:eastAsia="Times New Roman" w:hAnsi="Times New Roman" w:cs="Times New Roman"/>
                <w:b/>
                <w:bCs/>
                <w:i/>
                <w:iCs/>
                <w:color w:val="000000"/>
                <w:kern w:val="0"/>
                <w:szCs w:val="24"/>
                <w:vertAlign w:val="subscript"/>
                <w14:ligatures w14:val="none"/>
              </w:rPr>
              <w:t>p</w:t>
            </w:r>
            <w:r w:rsidRPr="00CA2EA1">
              <w:rPr>
                <w:rFonts w:ascii="Times New Roman" w:eastAsia="Times New Roman" w:hAnsi="Times New Roman" w:cs="Times New Roman"/>
                <w:b/>
                <w:bCs/>
                <w:i/>
                <w:iCs/>
                <w:color w:val="000000"/>
                <w:kern w:val="0"/>
                <w:szCs w:val="24"/>
                <w:vertAlign w:val="superscript"/>
                <w14:ligatures w14:val="none"/>
              </w:rPr>
              <w:t>2</w:t>
            </w:r>
          </w:p>
        </w:tc>
      </w:tr>
      <w:tr w:rsidR="00C42504" w:rsidRPr="00CA2EA1" w14:paraId="46D33B4C" w14:textId="77777777" w:rsidTr="001B7BB1">
        <w:tc>
          <w:tcPr>
            <w:tcW w:w="1696" w:type="dxa"/>
          </w:tcPr>
          <w:p w14:paraId="02CCC9DE" w14:textId="13ED09EA"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 Run</w:t>
            </w:r>
          </w:p>
        </w:tc>
        <w:tc>
          <w:tcPr>
            <w:tcW w:w="1418" w:type="dxa"/>
          </w:tcPr>
          <w:p w14:paraId="056901C6" w14:textId="07A21DF1"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3.10 ± 1.10</w:t>
            </w:r>
          </w:p>
        </w:tc>
        <w:tc>
          <w:tcPr>
            <w:tcW w:w="1417" w:type="dxa"/>
          </w:tcPr>
          <w:p w14:paraId="2875BE48" w14:textId="71636869"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5.30 ± 0.95</w:t>
            </w:r>
          </w:p>
        </w:tc>
        <w:tc>
          <w:tcPr>
            <w:tcW w:w="1418" w:type="dxa"/>
          </w:tcPr>
          <w:p w14:paraId="4811A738" w14:textId="0DA97763"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7.10 ± 0.85</w:t>
            </w:r>
          </w:p>
        </w:tc>
        <w:tc>
          <w:tcPr>
            <w:tcW w:w="992" w:type="dxa"/>
          </w:tcPr>
          <w:p w14:paraId="6848E416" w14:textId="3955D261"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175.40</w:t>
            </w:r>
          </w:p>
        </w:tc>
        <w:tc>
          <w:tcPr>
            <w:tcW w:w="992" w:type="dxa"/>
          </w:tcPr>
          <w:p w14:paraId="4F630A8A" w14:textId="18D110A0"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25983537" w14:textId="10AB2643"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0.85</w:t>
            </w:r>
          </w:p>
        </w:tc>
      </w:tr>
      <w:tr w:rsidR="00C42504" w:rsidRPr="00CA2EA1" w14:paraId="3F199E3A" w14:textId="77777777" w:rsidTr="001B7BB1">
        <w:tc>
          <w:tcPr>
            <w:tcW w:w="1696" w:type="dxa"/>
          </w:tcPr>
          <w:p w14:paraId="7C5361F9" w14:textId="10E79F86"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 Gallop</w:t>
            </w:r>
          </w:p>
        </w:tc>
        <w:tc>
          <w:tcPr>
            <w:tcW w:w="1418" w:type="dxa"/>
          </w:tcPr>
          <w:p w14:paraId="25E293E1" w14:textId="20DFA096"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2.80 ± 0.95</w:t>
            </w:r>
          </w:p>
        </w:tc>
        <w:tc>
          <w:tcPr>
            <w:tcW w:w="1417" w:type="dxa"/>
          </w:tcPr>
          <w:p w14:paraId="004FF356" w14:textId="3E206A37"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4.90 ± 0.85</w:t>
            </w:r>
          </w:p>
        </w:tc>
        <w:tc>
          <w:tcPr>
            <w:tcW w:w="1418" w:type="dxa"/>
          </w:tcPr>
          <w:p w14:paraId="1636E07E" w14:textId="7C97A402"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6.80 ± 0.90</w:t>
            </w:r>
          </w:p>
        </w:tc>
        <w:tc>
          <w:tcPr>
            <w:tcW w:w="992" w:type="dxa"/>
          </w:tcPr>
          <w:p w14:paraId="524F08BB" w14:textId="607BCD5F"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204.62</w:t>
            </w:r>
          </w:p>
        </w:tc>
        <w:tc>
          <w:tcPr>
            <w:tcW w:w="992" w:type="dxa"/>
          </w:tcPr>
          <w:p w14:paraId="3D0ED6AA" w14:textId="71369408"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7D4E16EA" w14:textId="15EFE848"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0.87</w:t>
            </w:r>
          </w:p>
        </w:tc>
      </w:tr>
      <w:tr w:rsidR="00C42504" w:rsidRPr="00CA2EA1" w14:paraId="4164A1FA" w14:textId="77777777" w:rsidTr="001B7BB1">
        <w:tc>
          <w:tcPr>
            <w:tcW w:w="1696" w:type="dxa"/>
          </w:tcPr>
          <w:p w14:paraId="71C85F83" w14:textId="4CA6C544"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 Hop</w:t>
            </w:r>
          </w:p>
        </w:tc>
        <w:tc>
          <w:tcPr>
            <w:tcW w:w="1418" w:type="dxa"/>
          </w:tcPr>
          <w:p w14:paraId="2F052851" w14:textId="34EAAC8D"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3.50 ± 1.15</w:t>
            </w:r>
          </w:p>
        </w:tc>
        <w:tc>
          <w:tcPr>
            <w:tcW w:w="1417" w:type="dxa"/>
          </w:tcPr>
          <w:p w14:paraId="73E86B56" w14:textId="29EA77D0"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6.10 ± 1.05</w:t>
            </w:r>
          </w:p>
        </w:tc>
        <w:tc>
          <w:tcPr>
            <w:tcW w:w="1418" w:type="dxa"/>
          </w:tcPr>
          <w:p w14:paraId="366AC01F" w14:textId="23033131"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8.10 ± 1.15</w:t>
            </w:r>
          </w:p>
        </w:tc>
        <w:tc>
          <w:tcPr>
            <w:tcW w:w="992" w:type="dxa"/>
          </w:tcPr>
          <w:p w14:paraId="38594519" w14:textId="4C82FB58"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188.35</w:t>
            </w:r>
          </w:p>
        </w:tc>
        <w:tc>
          <w:tcPr>
            <w:tcW w:w="992" w:type="dxa"/>
          </w:tcPr>
          <w:p w14:paraId="53BC8FC5" w14:textId="2431F2A2"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03E4618C" w14:textId="5AEF5C73"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0.86</w:t>
            </w:r>
          </w:p>
        </w:tc>
      </w:tr>
      <w:tr w:rsidR="00C42504" w:rsidRPr="00CA2EA1" w14:paraId="1AB41135" w14:textId="77777777" w:rsidTr="001B7BB1">
        <w:tc>
          <w:tcPr>
            <w:tcW w:w="1696" w:type="dxa"/>
          </w:tcPr>
          <w:p w14:paraId="6F486140" w14:textId="0904D4E1"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 Skip</w:t>
            </w:r>
          </w:p>
        </w:tc>
        <w:tc>
          <w:tcPr>
            <w:tcW w:w="1418" w:type="dxa"/>
          </w:tcPr>
          <w:p w14:paraId="46C7BF66" w14:textId="19677F2D"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1.90 ± 0.85</w:t>
            </w:r>
          </w:p>
        </w:tc>
        <w:tc>
          <w:tcPr>
            <w:tcW w:w="1417" w:type="dxa"/>
          </w:tcPr>
          <w:p w14:paraId="78067C26" w14:textId="3286A71B"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3.50 ± 0.80</w:t>
            </w:r>
          </w:p>
        </w:tc>
        <w:tc>
          <w:tcPr>
            <w:tcW w:w="1418" w:type="dxa"/>
          </w:tcPr>
          <w:p w14:paraId="2BD5C4AD" w14:textId="72C594C4"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5.20 ± 0.80</w:t>
            </w:r>
          </w:p>
        </w:tc>
        <w:tc>
          <w:tcPr>
            <w:tcW w:w="992" w:type="dxa"/>
          </w:tcPr>
          <w:p w14:paraId="42E6F8E3" w14:textId="20E91ADE"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162.15</w:t>
            </w:r>
          </w:p>
        </w:tc>
        <w:tc>
          <w:tcPr>
            <w:tcW w:w="992" w:type="dxa"/>
          </w:tcPr>
          <w:p w14:paraId="31E706B7" w14:textId="4FF50020"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06F963B0" w14:textId="2344D9DE"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0.84</w:t>
            </w:r>
          </w:p>
        </w:tc>
      </w:tr>
      <w:tr w:rsidR="00C42504" w:rsidRPr="00CA2EA1" w14:paraId="2F1708E0" w14:textId="77777777" w:rsidTr="001B7BB1">
        <w:tc>
          <w:tcPr>
            <w:tcW w:w="1696" w:type="dxa"/>
          </w:tcPr>
          <w:p w14:paraId="265A0DE3" w14:textId="21BC3A31"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 Horizontal Jump</w:t>
            </w:r>
          </w:p>
        </w:tc>
        <w:tc>
          <w:tcPr>
            <w:tcW w:w="1418" w:type="dxa"/>
          </w:tcPr>
          <w:p w14:paraId="67D384B9" w14:textId="4D1121D9"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2.50 ± 0.90</w:t>
            </w:r>
          </w:p>
        </w:tc>
        <w:tc>
          <w:tcPr>
            <w:tcW w:w="1417" w:type="dxa"/>
          </w:tcPr>
          <w:p w14:paraId="38978895" w14:textId="254C5694"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4.80 ± 0.85</w:t>
            </w:r>
          </w:p>
        </w:tc>
        <w:tc>
          <w:tcPr>
            <w:tcW w:w="1418" w:type="dxa"/>
          </w:tcPr>
          <w:p w14:paraId="285F966B" w14:textId="7CA22FF2"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6.50 ± 0.85</w:t>
            </w:r>
          </w:p>
        </w:tc>
        <w:tc>
          <w:tcPr>
            <w:tcW w:w="992" w:type="dxa"/>
          </w:tcPr>
          <w:p w14:paraId="761A5BFD" w14:textId="7516625A"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215.80</w:t>
            </w:r>
          </w:p>
        </w:tc>
        <w:tc>
          <w:tcPr>
            <w:tcW w:w="992" w:type="dxa"/>
          </w:tcPr>
          <w:p w14:paraId="6C47DFEF" w14:textId="35884D3E"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1C66CABD" w14:textId="755704F8"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0.88</w:t>
            </w:r>
          </w:p>
        </w:tc>
      </w:tr>
      <w:tr w:rsidR="00C42504" w:rsidRPr="00CA2EA1" w14:paraId="5EC96890" w14:textId="77777777" w:rsidTr="001B7BB1">
        <w:tc>
          <w:tcPr>
            <w:tcW w:w="1696" w:type="dxa"/>
          </w:tcPr>
          <w:p w14:paraId="20697D56" w14:textId="6FBD4403"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 Slide</w:t>
            </w:r>
          </w:p>
        </w:tc>
        <w:tc>
          <w:tcPr>
            <w:tcW w:w="1418" w:type="dxa"/>
          </w:tcPr>
          <w:p w14:paraId="09F9FEAC" w14:textId="4AE70FEA"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1.60 ± 0.70</w:t>
            </w:r>
          </w:p>
        </w:tc>
        <w:tc>
          <w:tcPr>
            <w:tcW w:w="1417" w:type="dxa"/>
          </w:tcPr>
          <w:p w14:paraId="56ABC953" w14:textId="1D5A6258"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3.10 ± 0.75</w:t>
            </w:r>
          </w:p>
        </w:tc>
        <w:tc>
          <w:tcPr>
            <w:tcW w:w="1418" w:type="dxa"/>
          </w:tcPr>
          <w:p w14:paraId="175761E0" w14:textId="2F7B97BF"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4.76 ± 0.75</w:t>
            </w:r>
          </w:p>
        </w:tc>
        <w:tc>
          <w:tcPr>
            <w:tcW w:w="992" w:type="dxa"/>
          </w:tcPr>
          <w:p w14:paraId="0E52975C" w14:textId="337942B2"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198.45</w:t>
            </w:r>
          </w:p>
        </w:tc>
        <w:tc>
          <w:tcPr>
            <w:tcW w:w="992" w:type="dxa"/>
          </w:tcPr>
          <w:p w14:paraId="118554C1" w14:textId="55B4BD78"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431129A9" w14:textId="002FB600"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0.87</w:t>
            </w:r>
          </w:p>
        </w:tc>
      </w:tr>
      <w:tr w:rsidR="00C42504" w:rsidRPr="00CA2EA1" w14:paraId="3E3464C5" w14:textId="77777777" w:rsidTr="001B7BB1">
        <w:tc>
          <w:tcPr>
            <w:tcW w:w="1696" w:type="dxa"/>
          </w:tcPr>
          <w:p w14:paraId="0BB768D0" w14:textId="7B0AA5C4"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lastRenderedPageBreak/>
              <w:t>Total Locomotor Score</w:t>
            </w:r>
          </w:p>
        </w:tc>
        <w:tc>
          <w:tcPr>
            <w:tcW w:w="1418" w:type="dxa"/>
          </w:tcPr>
          <w:p w14:paraId="163CB128" w14:textId="628645FD"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15.40 ± 3.12</w:t>
            </w:r>
          </w:p>
        </w:tc>
        <w:tc>
          <w:tcPr>
            <w:tcW w:w="1417" w:type="dxa"/>
          </w:tcPr>
          <w:p w14:paraId="31650AD9" w14:textId="5437E96E"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28.73 ± 2.85</w:t>
            </w:r>
          </w:p>
        </w:tc>
        <w:tc>
          <w:tcPr>
            <w:tcW w:w="1418" w:type="dxa"/>
          </w:tcPr>
          <w:p w14:paraId="0C5DECF8" w14:textId="0002F7BB"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38.46 ± 2.62</w:t>
            </w:r>
          </w:p>
        </w:tc>
        <w:tc>
          <w:tcPr>
            <w:tcW w:w="992" w:type="dxa"/>
          </w:tcPr>
          <w:p w14:paraId="0A589A2C" w14:textId="0CE68173"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512.34</w:t>
            </w:r>
          </w:p>
        </w:tc>
        <w:tc>
          <w:tcPr>
            <w:tcW w:w="992" w:type="dxa"/>
          </w:tcPr>
          <w:p w14:paraId="041F46AE" w14:textId="451B689C"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3EE739A2" w14:textId="75EA7F1F"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0.94</w:t>
            </w:r>
          </w:p>
        </w:tc>
      </w:tr>
      <w:tr w:rsidR="00C42504" w:rsidRPr="00CA2EA1" w14:paraId="3FB59A47" w14:textId="77777777" w:rsidTr="001B7BB1">
        <w:tc>
          <w:tcPr>
            <w:tcW w:w="1696" w:type="dxa"/>
          </w:tcPr>
          <w:p w14:paraId="70A7F84C" w14:textId="34EC5D0D"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7. Two-hand strike</w:t>
            </w:r>
          </w:p>
        </w:tc>
        <w:tc>
          <w:tcPr>
            <w:tcW w:w="1418" w:type="dxa"/>
          </w:tcPr>
          <w:p w14:paraId="76ED60C2" w14:textId="6ABA8B98"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3.20 ± 1.05</w:t>
            </w:r>
          </w:p>
        </w:tc>
        <w:tc>
          <w:tcPr>
            <w:tcW w:w="1417" w:type="dxa"/>
          </w:tcPr>
          <w:p w14:paraId="0BA5FAED" w14:textId="118A3830"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5.80 ± 0.95</w:t>
            </w:r>
          </w:p>
        </w:tc>
        <w:tc>
          <w:tcPr>
            <w:tcW w:w="1418" w:type="dxa"/>
          </w:tcPr>
          <w:p w14:paraId="799800BB" w14:textId="7E9A477A"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8.20 ± 0.95</w:t>
            </w:r>
          </w:p>
        </w:tc>
        <w:tc>
          <w:tcPr>
            <w:tcW w:w="992" w:type="dxa"/>
          </w:tcPr>
          <w:p w14:paraId="5760ED55" w14:textId="7FB4FC71"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240.12</w:t>
            </w:r>
          </w:p>
        </w:tc>
        <w:tc>
          <w:tcPr>
            <w:tcW w:w="992" w:type="dxa"/>
          </w:tcPr>
          <w:p w14:paraId="3C7DC932" w14:textId="6EED04DA"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409C4B8C" w14:textId="4CB048B5"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0.89</w:t>
            </w:r>
          </w:p>
        </w:tc>
      </w:tr>
      <w:tr w:rsidR="00C42504" w:rsidRPr="00CA2EA1" w14:paraId="31C0EC5A" w14:textId="77777777" w:rsidTr="001B7BB1">
        <w:tc>
          <w:tcPr>
            <w:tcW w:w="1696" w:type="dxa"/>
          </w:tcPr>
          <w:p w14:paraId="63737F4B" w14:textId="5137FED4"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8. Forehand strike</w:t>
            </w:r>
          </w:p>
        </w:tc>
        <w:tc>
          <w:tcPr>
            <w:tcW w:w="1418" w:type="dxa"/>
          </w:tcPr>
          <w:p w14:paraId="60E74626" w14:textId="6C37E574"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2.10 ± 0.90</w:t>
            </w:r>
          </w:p>
        </w:tc>
        <w:tc>
          <w:tcPr>
            <w:tcW w:w="1417" w:type="dxa"/>
          </w:tcPr>
          <w:p w14:paraId="237AFAD8" w14:textId="376A7632"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4.20 ± 0.85</w:t>
            </w:r>
          </w:p>
        </w:tc>
        <w:tc>
          <w:tcPr>
            <w:tcW w:w="1418" w:type="dxa"/>
          </w:tcPr>
          <w:p w14:paraId="3FF5FE8B" w14:textId="0A453AF4"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6.10 ± 0.85</w:t>
            </w:r>
          </w:p>
        </w:tc>
        <w:tc>
          <w:tcPr>
            <w:tcW w:w="992" w:type="dxa"/>
          </w:tcPr>
          <w:p w14:paraId="5B32FEAD" w14:textId="1CF34D81"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205.30</w:t>
            </w:r>
          </w:p>
        </w:tc>
        <w:tc>
          <w:tcPr>
            <w:tcW w:w="992" w:type="dxa"/>
          </w:tcPr>
          <w:p w14:paraId="4E610711" w14:textId="5229FD56"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7B58F74E" w14:textId="0437BF02"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0.87</w:t>
            </w:r>
          </w:p>
        </w:tc>
      </w:tr>
      <w:tr w:rsidR="00C42504" w:rsidRPr="00CA2EA1" w14:paraId="1B5EE845" w14:textId="77777777" w:rsidTr="001B7BB1">
        <w:tc>
          <w:tcPr>
            <w:tcW w:w="1696" w:type="dxa"/>
          </w:tcPr>
          <w:p w14:paraId="452DDC9C" w14:textId="230167C0"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9. Stationary dribble</w:t>
            </w:r>
          </w:p>
        </w:tc>
        <w:tc>
          <w:tcPr>
            <w:tcW w:w="1418" w:type="dxa"/>
          </w:tcPr>
          <w:p w14:paraId="0B751A3A" w14:textId="07F60293"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1.50 ± 0.75</w:t>
            </w:r>
          </w:p>
        </w:tc>
        <w:tc>
          <w:tcPr>
            <w:tcW w:w="1417" w:type="dxa"/>
          </w:tcPr>
          <w:p w14:paraId="267BD679" w14:textId="03CD825F"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3.20 ± 0.80</w:t>
            </w:r>
          </w:p>
        </w:tc>
        <w:tc>
          <w:tcPr>
            <w:tcW w:w="1418" w:type="dxa"/>
          </w:tcPr>
          <w:p w14:paraId="77DFAAA8" w14:textId="7E0F1621"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4.80 ± 0.80</w:t>
            </w:r>
          </w:p>
        </w:tc>
        <w:tc>
          <w:tcPr>
            <w:tcW w:w="992" w:type="dxa"/>
          </w:tcPr>
          <w:p w14:paraId="5AA2F2E7" w14:textId="23D0E2DB"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185.65</w:t>
            </w:r>
          </w:p>
        </w:tc>
        <w:tc>
          <w:tcPr>
            <w:tcW w:w="992" w:type="dxa"/>
          </w:tcPr>
          <w:p w14:paraId="384D7C22" w14:textId="0F0C7934"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0F9FF3A1" w14:textId="32D18FAE"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0.86</w:t>
            </w:r>
          </w:p>
        </w:tc>
      </w:tr>
      <w:tr w:rsidR="00C42504" w:rsidRPr="00CA2EA1" w14:paraId="459D6F29" w14:textId="77777777" w:rsidTr="001B7BB1">
        <w:tc>
          <w:tcPr>
            <w:tcW w:w="1696" w:type="dxa"/>
          </w:tcPr>
          <w:p w14:paraId="1A3810F2" w14:textId="43BE4CCA"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10. Two-hand catch</w:t>
            </w:r>
          </w:p>
        </w:tc>
        <w:tc>
          <w:tcPr>
            <w:tcW w:w="1418" w:type="dxa"/>
          </w:tcPr>
          <w:p w14:paraId="73EEDCD1" w14:textId="7694B380"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2.10 ± 0.85</w:t>
            </w:r>
          </w:p>
        </w:tc>
        <w:tc>
          <w:tcPr>
            <w:tcW w:w="1417" w:type="dxa"/>
          </w:tcPr>
          <w:p w14:paraId="2D9A3404" w14:textId="41B738B3"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3.80 ± 0.75</w:t>
            </w:r>
          </w:p>
        </w:tc>
        <w:tc>
          <w:tcPr>
            <w:tcW w:w="1418" w:type="dxa"/>
          </w:tcPr>
          <w:p w14:paraId="0FCA3B1F" w14:textId="2D0706F7"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5.10 ± 0.70</w:t>
            </w:r>
          </w:p>
        </w:tc>
        <w:tc>
          <w:tcPr>
            <w:tcW w:w="992" w:type="dxa"/>
          </w:tcPr>
          <w:p w14:paraId="5C4ADA8B" w14:textId="01A306B4"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170.80</w:t>
            </w:r>
          </w:p>
        </w:tc>
        <w:tc>
          <w:tcPr>
            <w:tcW w:w="992" w:type="dxa"/>
          </w:tcPr>
          <w:p w14:paraId="3EAEEEDF" w14:textId="4B6EB727"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580EBBD3" w14:textId="7A70899D"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0.85</w:t>
            </w:r>
          </w:p>
        </w:tc>
      </w:tr>
      <w:tr w:rsidR="00C42504" w:rsidRPr="00CA2EA1" w14:paraId="462ABE5F" w14:textId="77777777" w:rsidTr="001B7BB1">
        <w:tc>
          <w:tcPr>
            <w:tcW w:w="1696" w:type="dxa"/>
          </w:tcPr>
          <w:p w14:paraId="43D0F41A" w14:textId="70D6129B"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11. Kick a stationary ball</w:t>
            </w:r>
          </w:p>
        </w:tc>
        <w:tc>
          <w:tcPr>
            <w:tcW w:w="1418" w:type="dxa"/>
          </w:tcPr>
          <w:p w14:paraId="42316F0C" w14:textId="5F94CB2E"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2.40 ± 0.95</w:t>
            </w:r>
          </w:p>
        </w:tc>
        <w:tc>
          <w:tcPr>
            <w:tcW w:w="1417" w:type="dxa"/>
          </w:tcPr>
          <w:p w14:paraId="7D7E04E2" w14:textId="6A437BC0"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4.60 ± 0.90</w:t>
            </w:r>
          </w:p>
        </w:tc>
        <w:tc>
          <w:tcPr>
            <w:tcW w:w="1418" w:type="dxa"/>
          </w:tcPr>
          <w:p w14:paraId="668E5706" w14:textId="39EF5F00"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6.50 ± 0.90</w:t>
            </w:r>
          </w:p>
        </w:tc>
        <w:tc>
          <w:tcPr>
            <w:tcW w:w="992" w:type="dxa"/>
          </w:tcPr>
          <w:p w14:paraId="7DAD63DB" w14:textId="2F1C4C35"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212.45</w:t>
            </w:r>
          </w:p>
        </w:tc>
        <w:tc>
          <w:tcPr>
            <w:tcW w:w="992" w:type="dxa"/>
          </w:tcPr>
          <w:p w14:paraId="7FDCD139" w14:textId="3935216A"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555383E6" w14:textId="19FD58F5"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0.88</w:t>
            </w:r>
          </w:p>
        </w:tc>
      </w:tr>
      <w:tr w:rsidR="00C42504" w:rsidRPr="00CA2EA1" w14:paraId="20071E33" w14:textId="77777777" w:rsidTr="001B7BB1">
        <w:tc>
          <w:tcPr>
            <w:tcW w:w="1696" w:type="dxa"/>
          </w:tcPr>
          <w:p w14:paraId="09AD092C" w14:textId="4C1E47D1"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12. Overhand throw</w:t>
            </w:r>
          </w:p>
        </w:tc>
        <w:tc>
          <w:tcPr>
            <w:tcW w:w="1418" w:type="dxa"/>
          </w:tcPr>
          <w:p w14:paraId="4E4597F4" w14:textId="40B60D18"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1.80 ± 0.85</w:t>
            </w:r>
          </w:p>
        </w:tc>
        <w:tc>
          <w:tcPr>
            <w:tcW w:w="1417" w:type="dxa"/>
          </w:tcPr>
          <w:p w14:paraId="5EE3439B" w14:textId="23212857"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4.00 ± 0.80</w:t>
            </w:r>
          </w:p>
        </w:tc>
        <w:tc>
          <w:tcPr>
            <w:tcW w:w="1418" w:type="dxa"/>
          </w:tcPr>
          <w:p w14:paraId="4FA57497" w14:textId="4A15442F"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6.20 ± 0.85</w:t>
            </w:r>
          </w:p>
        </w:tc>
        <w:tc>
          <w:tcPr>
            <w:tcW w:w="992" w:type="dxa"/>
          </w:tcPr>
          <w:p w14:paraId="1976922F" w14:textId="2CE589DB"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230.15</w:t>
            </w:r>
          </w:p>
        </w:tc>
        <w:tc>
          <w:tcPr>
            <w:tcW w:w="992" w:type="dxa"/>
          </w:tcPr>
          <w:p w14:paraId="74D2D9EE" w14:textId="79F3EF1B"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57FF7CE4" w14:textId="2B4B3A94"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0.88</w:t>
            </w:r>
          </w:p>
        </w:tc>
      </w:tr>
      <w:tr w:rsidR="00C42504" w:rsidRPr="00CA2EA1" w14:paraId="6A441CC5" w14:textId="77777777" w:rsidTr="001B7BB1">
        <w:tc>
          <w:tcPr>
            <w:tcW w:w="1696" w:type="dxa"/>
          </w:tcPr>
          <w:p w14:paraId="5B3F7E8B" w14:textId="52109E23"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13. Underhand roll</w:t>
            </w:r>
          </w:p>
        </w:tc>
        <w:tc>
          <w:tcPr>
            <w:tcW w:w="1418" w:type="dxa"/>
          </w:tcPr>
          <w:p w14:paraId="2DE6777C" w14:textId="628F861F"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1.16 ± 0.75</w:t>
            </w:r>
          </w:p>
        </w:tc>
        <w:tc>
          <w:tcPr>
            <w:tcW w:w="1417" w:type="dxa"/>
          </w:tcPr>
          <w:p w14:paraId="7D82937B" w14:textId="37193232"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3.10 ± 0.85</w:t>
            </w:r>
          </w:p>
        </w:tc>
        <w:tc>
          <w:tcPr>
            <w:tcW w:w="1418" w:type="dxa"/>
          </w:tcPr>
          <w:p w14:paraId="1560C1CF" w14:textId="5CA78752"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5.20 ± 0.85</w:t>
            </w:r>
          </w:p>
        </w:tc>
        <w:tc>
          <w:tcPr>
            <w:tcW w:w="992" w:type="dxa"/>
          </w:tcPr>
          <w:p w14:paraId="3BF7D9DF" w14:textId="21FF48DB"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245.80</w:t>
            </w:r>
          </w:p>
        </w:tc>
        <w:tc>
          <w:tcPr>
            <w:tcW w:w="992" w:type="dxa"/>
          </w:tcPr>
          <w:p w14:paraId="2E6E1847" w14:textId="21288607"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50A63495" w14:textId="2000CC05"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0.89</w:t>
            </w:r>
          </w:p>
        </w:tc>
      </w:tr>
      <w:tr w:rsidR="00C42504" w:rsidRPr="00CA2EA1" w14:paraId="71289889" w14:textId="77777777" w:rsidTr="001B7BB1">
        <w:tc>
          <w:tcPr>
            <w:tcW w:w="1696" w:type="dxa"/>
          </w:tcPr>
          <w:p w14:paraId="0A4E7781" w14:textId="3D70AB4B"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Total Object Control Score</w:t>
            </w:r>
          </w:p>
        </w:tc>
        <w:tc>
          <w:tcPr>
            <w:tcW w:w="1418" w:type="dxa"/>
          </w:tcPr>
          <w:p w14:paraId="7F4B4A14" w14:textId="266828E6"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14.26 ± 3.50</w:t>
            </w:r>
          </w:p>
        </w:tc>
        <w:tc>
          <w:tcPr>
            <w:tcW w:w="1417" w:type="dxa"/>
          </w:tcPr>
          <w:p w14:paraId="0665E6A4" w14:textId="04F5D26E"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25.16 ± 3.20</w:t>
            </w:r>
          </w:p>
        </w:tc>
        <w:tc>
          <w:tcPr>
            <w:tcW w:w="1418" w:type="dxa"/>
          </w:tcPr>
          <w:p w14:paraId="0E4DE158" w14:textId="65967563"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42.10 ± 3.41</w:t>
            </w:r>
          </w:p>
        </w:tc>
        <w:tc>
          <w:tcPr>
            <w:tcW w:w="992" w:type="dxa"/>
          </w:tcPr>
          <w:p w14:paraId="5CCAB68C" w14:textId="58225657"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608.12</w:t>
            </w:r>
          </w:p>
        </w:tc>
        <w:tc>
          <w:tcPr>
            <w:tcW w:w="992" w:type="dxa"/>
          </w:tcPr>
          <w:p w14:paraId="67CA00EF" w14:textId="7C292A05" w:rsidR="00C42504" w:rsidRPr="00CA2EA1" w:rsidRDefault="00C42504" w:rsidP="00C42504">
            <w:pPr>
              <w:adjustRightInd w:val="0"/>
              <w:snapToGrid w:val="0"/>
              <w:jc w:val="center"/>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4B92B620" w14:textId="06342FD8" w:rsidR="00C42504" w:rsidRPr="00CA2EA1" w:rsidRDefault="00C42504" w:rsidP="00C42504">
            <w:pPr>
              <w:adjustRightInd w:val="0"/>
              <w:snapToGrid w:val="0"/>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0.95</w:t>
            </w:r>
          </w:p>
        </w:tc>
      </w:tr>
      <w:tr w:rsidR="00C42504" w:rsidRPr="00CA2EA1" w14:paraId="2CCDF227" w14:textId="77777777" w:rsidTr="001B7BB1">
        <w:tc>
          <w:tcPr>
            <w:tcW w:w="1696" w:type="dxa"/>
          </w:tcPr>
          <w:p w14:paraId="3BE895BD" w14:textId="73CF8EAB"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Total Gross Motor Score</w:t>
            </w:r>
          </w:p>
        </w:tc>
        <w:tc>
          <w:tcPr>
            <w:tcW w:w="1418" w:type="dxa"/>
          </w:tcPr>
          <w:p w14:paraId="64C552D1" w14:textId="7CA1216A"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29.66 ± 5.80</w:t>
            </w:r>
          </w:p>
        </w:tc>
        <w:tc>
          <w:tcPr>
            <w:tcW w:w="1417" w:type="dxa"/>
          </w:tcPr>
          <w:p w14:paraId="01070FFE" w14:textId="4C8BE3E8"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53.89 ± 5.25</w:t>
            </w:r>
          </w:p>
        </w:tc>
        <w:tc>
          <w:tcPr>
            <w:tcW w:w="1418" w:type="dxa"/>
          </w:tcPr>
          <w:p w14:paraId="06FD449D" w14:textId="2DB313A0"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80.56 ± 5.12</w:t>
            </w:r>
          </w:p>
        </w:tc>
        <w:tc>
          <w:tcPr>
            <w:tcW w:w="992" w:type="dxa"/>
          </w:tcPr>
          <w:p w14:paraId="3D3DFD80" w14:textId="4A049A85"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875.45</w:t>
            </w:r>
          </w:p>
        </w:tc>
        <w:tc>
          <w:tcPr>
            <w:tcW w:w="992" w:type="dxa"/>
          </w:tcPr>
          <w:p w14:paraId="0E32DAE7" w14:textId="315E9A4A" w:rsidR="00C42504" w:rsidRPr="00CA2EA1" w:rsidRDefault="00C42504" w:rsidP="00C42504">
            <w:pPr>
              <w:adjustRightInd w:val="0"/>
              <w:snapToGrid w:val="0"/>
              <w:jc w:val="center"/>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.001*</w:t>
            </w:r>
          </w:p>
        </w:tc>
        <w:tc>
          <w:tcPr>
            <w:tcW w:w="851" w:type="dxa"/>
          </w:tcPr>
          <w:p w14:paraId="50047F0C" w14:textId="3DC39927" w:rsidR="00C42504" w:rsidRPr="00CA2EA1" w:rsidRDefault="00C42504" w:rsidP="00C42504">
            <w:pPr>
              <w:adjustRightInd w:val="0"/>
              <w:snapToGrid w:val="0"/>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0.96</w:t>
            </w:r>
          </w:p>
        </w:tc>
      </w:tr>
    </w:tbl>
    <w:p w14:paraId="3B4221D2" w14:textId="731852A6" w:rsidR="001B7BB1" w:rsidRDefault="0002138F" w:rsidP="001B7BB1">
      <w:pPr>
        <w:adjustRightInd w:val="0"/>
        <w:snapToGrid w:val="0"/>
        <w:spacing w:after="0" w:line="240" w:lineRule="auto"/>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 Significant at the .05 level</w:t>
      </w:r>
    </w:p>
    <w:p w14:paraId="3DE88811" w14:textId="644B63D7" w:rsidR="0002138F" w:rsidRPr="00CA2EA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Table 2 highlights a dynamic and highly significant progressive improvement across all sub-skills. To pinpoint the specific loci of these developmental shifts, Bonferroni post-hoc pairwise comparisons were executed and formatted to rigorous academic standards in Table 3.</w:t>
      </w:r>
    </w:p>
    <w:p w14:paraId="33BC4D38" w14:textId="77777777" w:rsidR="001B7BB1" w:rsidRDefault="001B7BB1" w:rsidP="0002138F">
      <w:pPr>
        <w:adjustRightInd w:val="0"/>
        <w:snapToGrid w:val="0"/>
        <w:spacing w:after="0" w:line="240" w:lineRule="auto"/>
        <w:jc w:val="both"/>
        <w:rPr>
          <w:rFonts w:ascii="Times New Roman" w:eastAsia="Times New Roman" w:hAnsi="Times New Roman" w:cs="Times New Roman"/>
          <w:b/>
          <w:bCs/>
          <w:color w:val="000000"/>
          <w:kern w:val="0"/>
          <w:szCs w:val="24"/>
          <w14:ligatures w14:val="none"/>
        </w:rPr>
      </w:pPr>
    </w:p>
    <w:p w14:paraId="1CB8C4BA" w14:textId="7BCE4865" w:rsidR="0002138F" w:rsidRPr="001B7BB1" w:rsidRDefault="0002138F" w:rsidP="0002138F">
      <w:pPr>
        <w:adjustRightInd w:val="0"/>
        <w:snapToGrid w:val="0"/>
        <w:spacing w:after="0" w:line="240" w:lineRule="auto"/>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Table 3:</w:t>
      </w:r>
      <w:r w:rsidRPr="00CA2EA1">
        <w:rPr>
          <w:rFonts w:ascii="Times New Roman" w:eastAsia="Times New Roman" w:hAnsi="Times New Roman" w:cs="Times New Roman"/>
          <w:color w:val="000000"/>
          <w:kern w:val="0"/>
          <w:szCs w:val="24"/>
          <w14:ligatures w14:val="none"/>
        </w:rPr>
        <w:t> </w:t>
      </w:r>
      <w:r w:rsidRPr="001B7BB1">
        <w:rPr>
          <w:rFonts w:ascii="Times New Roman" w:eastAsia="Times New Roman" w:hAnsi="Times New Roman" w:cs="Times New Roman"/>
          <w:color w:val="000000"/>
          <w:kern w:val="0"/>
          <w:szCs w:val="24"/>
          <w14:ligatures w14:val="none"/>
        </w:rPr>
        <w:t>Bonferroni Post-Hoc Pairwise Comparisons (Mean Differences) for the Experimental Group</w:t>
      </w:r>
    </w:p>
    <w:tbl>
      <w:tblPr>
        <w:tblStyle w:val="TableGrid"/>
        <w:tblW w:w="8676" w:type="dxa"/>
        <w:tblLook w:val="04A0" w:firstRow="1" w:lastRow="0" w:firstColumn="1" w:lastColumn="0" w:noHBand="0" w:noVBand="1"/>
      </w:tblPr>
      <w:tblGrid>
        <w:gridCol w:w="3964"/>
        <w:gridCol w:w="1560"/>
        <w:gridCol w:w="1559"/>
        <w:gridCol w:w="1593"/>
      </w:tblGrid>
      <w:tr w:rsidR="00C42504" w:rsidRPr="00CA2EA1" w14:paraId="06314621" w14:textId="77777777" w:rsidTr="001B7BB1">
        <w:tc>
          <w:tcPr>
            <w:tcW w:w="3964" w:type="dxa"/>
          </w:tcPr>
          <w:p w14:paraId="0DE4908B" w14:textId="4F1FA6A7"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TGMD-3 Items</w:t>
            </w:r>
          </w:p>
        </w:tc>
        <w:tc>
          <w:tcPr>
            <w:tcW w:w="1560" w:type="dxa"/>
          </w:tcPr>
          <w:p w14:paraId="0C493DDF" w14:textId="77777777"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Pre-test vs Mid-test</w:t>
            </w:r>
          </w:p>
          <w:p w14:paraId="1489CA43" w14:textId="70D74862"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i/>
                <w:iCs/>
                <w:color w:val="000000"/>
                <w:kern w:val="0"/>
                <w:szCs w:val="24"/>
                <w14:ligatures w14:val="none"/>
              </w:rPr>
              <w:t>(MD)</w:t>
            </w:r>
          </w:p>
        </w:tc>
        <w:tc>
          <w:tcPr>
            <w:tcW w:w="1559" w:type="dxa"/>
          </w:tcPr>
          <w:p w14:paraId="0E00D689" w14:textId="77777777"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Pre-test vs Post-test</w:t>
            </w:r>
          </w:p>
          <w:p w14:paraId="052134CD" w14:textId="5132EDB5"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i/>
                <w:iCs/>
                <w:color w:val="000000"/>
                <w:kern w:val="0"/>
                <w:szCs w:val="24"/>
                <w14:ligatures w14:val="none"/>
              </w:rPr>
              <w:t>(MD)</w:t>
            </w:r>
          </w:p>
        </w:tc>
        <w:tc>
          <w:tcPr>
            <w:tcW w:w="1593" w:type="dxa"/>
          </w:tcPr>
          <w:p w14:paraId="29D60B7A" w14:textId="77777777"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Mid-test vs Post-test</w:t>
            </w:r>
          </w:p>
          <w:p w14:paraId="65F34262" w14:textId="13830F2E"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i/>
                <w:iCs/>
                <w:color w:val="000000"/>
                <w:kern w:val="0"/>
                <w:szCs w:val="24"/>
                <w14:ligatures w14:val="none"/>
              </w:rPr>
              <w:t>(MD)</w:t>
            </w:r>
          </w:p>
        </w:tc>
      </w:tr>
      <w:tr w:rsidR="00C42504" w:rsidRPr="00CA2EA1" w14:paraId="5FB37511" w14:textId="77777777" w:rsidTr="001B7BB1">
        <w:tc>
          <w:tcPr>
            <w:tcW w:w="3964" w:type="dxa"/>
          </w:tcPr>
          <w:p w14:paraId="7168DB74" w14:textId="25EA129B"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Locomotor Subtest</w:t>
            </w:r>
          </w:p>
        </w:tc>
        <w:tc>
          <w:tcPr>
            <w:tcW w:w="1560" w:type="dxa"/>
          </w:tcPr>
          <w:p w14:paraId="5EB7EEA5" w14:textId="77777777"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p>
        </w:tc>
        <w:tc>
          <w:tcPr>
            <w:tcW w:w="1559" w:type="dxa"/>
          </w:tcPr>
          <w:p w14:paraId="514B135F" w14:textId="77777777"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p>
        </w:tc>
        <w:tc>
          <w:tcPr>
            <w:tcW w:w="1593" w:type="dxa"/>
          </w:tcPr>
          <w:p w14:paraId="4832FEC6" w14:textId="77777777"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p>
        </w:tc>
      </w:tr>
      <w:tr w:rsidR="00C42504" w:rsidRPr="00CA2EA1" w14:paraId="34FDE0CA" w14:textId="77777777" w:rsidTr="001B7BB1">
        <w:tc>
          <w:tcPr>
            <w:tcW w:w="3964" w:type="dxa"/>
          </w:tcPr>
          <w:p w14:paraId="151A5E2F" w14:textId="0AA5727D"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1. Run</w:t>
            </w:r>
          </w:p>
        </w:tc>
        <w:tc>
          <w:tcPr>
            <w:tcW w:w="1560" w:type="dxa"/>
          </w:tcPr>
          <w:p w14:paraId="2F9BDD22" w14:textId="0825D55E"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color w:val="000000"/>
                <w:kern w:val="0"/>
                <w:szCs w:val="24"/>
                <w14:ligatures w14:val="none"/>
              </w:rPr>
              <w:t>-2.20*</w:t>
            </w:r>
          </w:p>
        </w:tc>
        <w:tc>
          <w:tcPr>
            <w:tcW w:w="1559" w:type="dxa"/>
          </w:tcPr>
          <w:p w14:paraId="097F33B4" w14:textId="2E773437"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color w:val="000000"/>
                <w:kern w:val="0"/>
                <w:szCs w:val="24"/>
                <w14:ligatures w14:val="none"/>
              </w:rPr>
              <w:t>-4.00*</w:t>
            </w:r>
          </w:p>
        </w:tc>
        <w:tc>
          <w:tcPr>
            <w:tcW w:w="1593" w:type="dxa"/>
          </w:tcPr>
          <w:p w14:paraId="6FEF2567" w14:textId="2E1AFD3F" w:rsidR="00C42504" w:rsidRPr="00CA2EA1" w:rsidRDefault="00C42504" w:rsidP="00C42504">
            <w:pPr>
              <w:adjustRightInd w:val="0"/>
              <w:snapToGrid w:val="0"/>
              <w:jc w:val="both"/>
              <w:rPr>
                <w:rFonts w:ascii="Times New Roman" w:eastAsia="Times New Roman" w:hAnsi="Times New Roman" w:cs="Times New Roman"/>
                <w:i/>
                <w:iCs/>
                <w:color w:val="000000"/>
                <w:kern w:val="0"/>
                <w:szCs w:val="24"/>
                <w14:ligatures w14:val="none"/>
              </w:rPr>
            </w:pPr>
            <w:r w:rsidRPr="00CA2EA1">
              <w:rPr>
                <w:rFonts w:ascii="Times New Roman" w:eastAsia="Times New Roman" w:hAnsi="Times New Roman" w:cs="Times New Roman"/>
                <w:color w:val="000000"/>
                <w:kern w:val="0"/>
                <w:szCs w:val="24"/>
                <w14:ligatures w14:val="none"/>
              </w:rPr>
              <w:t>-1.80*</w:t>
            </w:r>
          </w:p>
        </w:tc>
      </w:tr>
      <w:tr w:rsidR="00C42504" w:rsidRPr="00CA2EA1" w14:paraId="1AD761D3" w14:textId="77777777" w:rsidTr="001B7BB1">
        <w:tc>
          <w:tcPr>
            <w:tcW w:w="3964" w:type="dxa"/>
          </w:tcPr>
          <w:p w14:paraId="51A6273F" w14:textId="53D0A8C1"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 Gallop</w:t>
            </w:r>
          </w:p>
        </w:tc>
        <w:tc>
          <w:tcPr>
            <w:tcW w:w="1560" w:type="dxa"/>
          </w:tcPr>
          <w:p w14:paraId="6E3C8529" w14:textId="06E6CA6F"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-2.10*</w:t>
            </w:r>
          </w:p>
        </w:tc>
        <w:tc>
          <w:tcPr>
            <w:tcW w:w="1559" w:type="dxa"/>
          </w:tcPr>
          <w:p w14:paraId="22CD579A" w14:textId="5EF0C164"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-4.00*</w:t>
            </w:r>
          </w:p>
        </w:tc>
        <w:tc>
          <w:tcPr>
            <w:tcW w:w="1593" w:type="dxa"/>
          </w:tcPr>
          <w:p w14:paraId="3AA68364" w14:textId="5537F497"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-1.90*</w:t>
            </w:r>
          </w:p>
        </w:tc>
      </w:tr>
      <w:tr w:rsidR="00C42504" w:rsidRPr="00CA2EA1" w14:paraId="3E17B510" w14:textId="77777777" w:rsidTr="001B7BB1">
        <w:tc>
          <w:tcPr>
            <w:tcW w:w="3964" w:type="dxa"/>
          </w:tcPr>
          <w:p w14:paraId="085B7D2A" w14:textId="2E89F69D"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 Hop</w:t>
            </w:r>
          </w:p>
        </w:tc>
        <w:tc>
          <w:tcPr>
            <w:tcW w:w="1560" w:type="dxa"/>
          </w:tcPr>
          <w:p w14:paraId="38DD7047" w14:textId="7DC6A9AB"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-2.60*</w:t>
            </w:r>
          </w:p>
        </w:tc>
        <w:tc>
          <w:tcPr>
            <w:tcW w:w="1559" w:type="dxa"/>
          </w:tcPr>
          <w:p w14:paraId="22291A3A" w14:textId="4967EDA5"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-4.60*</w:t>
            </w:r>
          </w:p>
        </w:tc>
        <w:tc>
          <w:tcPr>
            <w:tcW w:w="1593" w:type="dxa"/>
          </w:tcPr>
          <w:p w14:paraId="1DDFF305" w14:textId="3314BBC4"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-2.00*</w:t>
            </w:r>
          </w:p>
        </w:tc>
      </w:tr>
      <w:tr w:rsidR="00C42504" w:rsidRPr="00CA2EA1" w14:paraId="16988FBD" w14:textId="77777777" w:rsidTr="001B7BB1">
        <w:tc>
          <w:tcPr>
            <w:tcW w:w="3964" w:type="dxa"/>
          </w:tcPr>
          <w:p w14:paraId="741D317C" w14:textId="75CF0F59"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 Skip</w:t>
            </w:r>
          </w:p>
        </w:tc>
        <w:tc>
          <w:tcPr>
            <w:tcW w:w="1560" w:type="dxa"/>
          </w:tcPr>
          <w:p w14:paraId="1F0069F8" w14:textId="238CCF0B"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-1.60*</w:t>
            </w:r>
          </w:p>
        </w:tc>
        <w:tc>
          <w:tcPr>
            <w:tcW w:w="1559" w:type="dxa"/>
          </w:tcPr>
          <w:p w14:paraId="6DEE1599" w14:textId="6BEFA4E5"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-3.30*</w:t>
            </w:r>
          </w:p>
        </w:tc>
        <w:tc>
          <w:tcPr>
            <w:tcW w:w="1593" w:type="dxa"/>
          </w:tcPr>
          <w:p w14:paraId="61BF8BDC" w14:textId="6395E577"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-1.70*</w:t>
            </w:r>
          </w:p>
        </w:tc>
      </w:tr>
      <w:tr w:rsidR="00C42504" w:rsidRPr="00CA2EA1" w14:paraId="4FC445F8" w14:textId="77777777" w:rsidTr="001B7BB1">
        <w:tc>
          <w:tcPr>
            <w:tcW w:w="3964" w:type="dxa"/>
          </w:tcPr>
          <w:p w14:paraId="56761B77" w14:textId="37BD165B"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5. Horizontal Jump</w:t>
            </w:r>
          </w:p>
        </w:tc>
        <w:tc>
          <w:tcPr>
            <w:tcW w:w="1560" w:type="dxa"/>
          </w:tcPr>
          <w:p w14:paraId="0C089946" w14:textId="6C0F8409"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-2.30*</w:t>
            </w:r>
          </w:p>
        </w:tc>
        <w:tc>
          <w:tcPr>
            <w:tcW w:w="1559" w:type="dxa"/>
          </w:tcPr>
          <w:p w14:paraId="40ECBB44" w14:textId="2A494B73"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-4.00*</w:t>
            </w:r>
          </w:p>
        </w:tc>
        <w:tc>
          <w:tcPr>
            <w:tcW w:w="1593" w:type="dxa"/>
          </w:tcPr>
          <w:p w14:paraId="54D8F951" w14:textId="58E0501F"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-1.70*</w:t>
            </w:r>
          </w:p>
        </w:tc>
      </w:tr>
      <w:tr w:rsidR="00C42504" w:rsidRPr="00CA2EA1" w14:paraId="41B5D7E2" w14:textId="77777777" w:rsidTr="001B7BB1">
        <w:tc>
          <w:tcPr>
            <w:tcW w:w="3964" w:type="dxa"/>
          </w:tcPr>
          <w:p w14:paraId="25AB894D" w14:textId="7827CCA5"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6. Slide</w:t>
            </w:r>
          </w:p>
        </w:tc>
        <w:tc>
          <w:tcPr>
            <w:tcW w:w="1560" w:type="dxa"/>
          </w:tcPr>
          <w:p w14:paraId="40BF1D46" w14:textId="29E2C416"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-1.50*</w:t>
            </w:r>
          </w:p>
        </w:tc>
        <w:tc>
          <w:tcPr>
            <w:tcW w:w="1559" w:type="dxa"/>
          </w:tcPr>
          <w:p w14:paraId="7ED2D926" w14:textId="7B895A47"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-3.16*</w:t>
            </w:r>
          </w:p>
        </w:tc>
        <w:tc>
          <w:tcPr>
            <w:tcW w:w="1593" w:type="dxa"/>
          </w:tcPr>
          <w:p w14:paraId="79E17505" w14:textId="5F595146"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-1.66*</w:t>
            </w:r>
          </w:p>
        </w:tc>
      </w:tr>
      <w:tr w:rsidR="00C42504" w:rsidRPr="00CA2EA1" w14:paraId="6B6121B7" w14:textId="77777777" w:rsidTr="001B7BB1">
        <w:tc>
          <w:tcPr>
            <w:tcW w:w="3964" w:type="dxa"/>
          </w:tcPr>
          <w:p w14:paraId="14955E47" w14:textId="08575229"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Total Locomotor Score</w:t>
            </w:r>
          </w:p>
        </w:tc>
        <w:tc>
          <w:tcPr>
            <w:tcW w:w="1560" w:type="dxa"/>
          </w:tcPr>
          <w:p w14:paraId="414E8210" w14:textId="18F798EF"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-13.33</w:t>
            </w:r>
            <w:r w:rsidRPr="00CA2EA1">
              <w:rPr>
                <w:rFonts w:ascii="Times New Roman" w:eastAsia="Times New Roman" w:hAnsi="Times New Roman" w:cs="Times New Roman"/>
                <w:color w:val="000000"/>
                <w:kern w:val="0"/>
                <w:szCs w:val="24"/>
                <w14:ligatures w14:val="none"/>
              </w:rPr>
              <w:t>*</w:t>
            </w:r>
          </w:p>
        </w:tc>
        <w:tc>
          <w:tcPr>
            <w:tcW w:w="1559" w:type="dxa"/>
          </w:tcPr>
          <w:p w14:paraId="7BE08975" w14:textId="6DB2B87A"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-23.06</w:t>
            </w:r>
            <w:r w:rsidRPr="00CA2EA1">
              <w:rPr>
                <w:rFonts w:ascii="Times New Roman" w:eastAsia="Times New Roman" w:hAnsi="Times New Roman" w:cs="Times New Roman"/>
                <w:color w:val="000000"/>
                <w:kern w:val="0"/>
                <w:szCs w:val="24"/>
                <w14:ligatures w14:val="none"/>
              </w:rPr>
              <w:t>*</w:t>
            </w:r>
          </w:p>
        </w:tc>
        <w:tc>
          <w:tcPr>
            <w:tcW w:w="1593" w:type="dxa"/>
          </w:tcPr>
          <w:p w14:paraId="7006520D" w14:textId="7C5C0E3D"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-9.73</w:t>
            </w:r>
            <w:r w:rsidRPr="00CA2EA1">
              <w:rPr>
                <w:rFonts w:ascii="Times New Roman" w:eastAsia="Times New Roman" w:hAnsi="Times New Roman" w:cs="Times New Roman"/>
                <w:color w:val="000000"/>
                <w:kern w:val="0"/>
                <w:szCs w:val="24"/>
                <w14:ligatures w14:val="none"/>
              </w:rPr>
              <w:t>*</w:t>
            </w:r>
          </w:p>
        </w:tc>
      </w:tr>
      <w:tr w:rsidR="00C42504" w:rsidRPr="00CA2EA1" w14:paraId="1642C95D" w14:textId="77777777" w:rsidTr="001B7BB1">
        <w:tc>
          <w:tcPr>
            <w:tcW w:w="3964" w:type="dxa"/>
          </w:tcPr>
          <w:p w14:paraId="6BAE34FA" w14:textId="1B33B287"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Object Control Subtest</w:t>
            </w:r>
          </w:p>
        </w:tc>
        <w:tc>
          <w:tcPr>
            <w:tcW w:w="1560" w:type="dxa"/>
          </w:tcPr>
          <w:p w14:paraId="15335D80" w14:textId="77777777"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p>
        </w:tc>
        <w:tc>
          <w:tcPr>
            <w:tcW w:w="1559" w:type="dxa"/>
          </w:tcPr>
          <w:p w14:paraId="6E96A295" w14:textId="77777777"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p>
        </w:tc>
        <w:tc>
          <w:tcPr>
            <w:tcW w:w="1593" w:type="dxa"/>
          </w:tcPr>
          <w:p w14:paraId="23E818FB" w14:textId="77777777"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p>
        </w:tc>
      </w:tr>
      <w:tr w:rsidR="00C42504" w:rsidRPr="00CA2EA1" w14:paraId="5F4DE5EC" w14:textId="77777777" w:rsidTr="001B7BB1">
        <w:tc>
          <w:tcPr>
            <w:tcW w:w="3964" w:type="dxa"/>
          </w:tcPr>
          <w:p w14:paraId="2B039265" w14:textId="4A7A7F6D"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7. Two-hand strike</w:t>
            </w:r>
          </w:p>
        </w:tc>
        <w:tc>
          <w:tcPr>
            <w:tcW w:w="1560" w:type="dxa"/>
          </w:tcPr>
          <w:p w14:paraId="4313F30D" w14:textId="587759A1"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-2.60*</w:t>
            </w:r>
          </w:p>
        </w:tc>
        <w:tc>
          <w:tcPr>
            <w:tcW w:w="1559" w:type="dxa"/>
          </w:tcPr>
          <w:p w14:paraId="6F6002B3" w14:textId="75B657F1"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-5.00*</w:t>
            </w:r>
          </w:p>
        </w:tc>
        <w:tc>
          <w:tcPr>
            <w:tcW w:w="1593" w:type="dxa"/>
          </w:tcPr>
          <w:p w14:paraId="51548A15" w14:textId="6F58AC50"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-2.40*</w:t>
            </w:r>
          </w:p>
        </w:tc>
      </w:tr>
      <w:tr w:rsidR="00C42504" w:rsidRPr="00CA2EA1" w14:paraId="731F35E3" w14:textId="77777777" w:rsidTr="001B7BB1">
        <w:tc>
          <w:tcPr>
            <w:tcW w:w="3964" w:type="dxa"/>
          </w:tcPr>
          <w:p w14:paraId="61014649" w14:textId="0F632A19"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8. Forehand strike</w:t>
            </w:r>
          </w:p>
        </w:tc>
        <w:tc>
          <w:tcPr>
            <w:tcW w:w="1560" w:type="dxa"/>
          </w:tcPr>
          <w:p w14:paraId="08F25A88" w14:textId="6A52B275"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-2.10*</w:t>
            </w:r>
          </w:p>
        </w:tc>
        <w:tc>
          <w:tcPr>
            <w:tcW w:w="1559" w:type="dxa"/>
          </w:tcPr>
          <w:p w14:paraId="5487B81F" w14:textId="0195273F"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-4.00*</w:t>
            </w:r>
          </w:p>
        </w:tc>
        <w:tc>
          <w:tcPr>
            <w:tcW w:w="1593" w:type="dxa"/>
          </w:tcPr>
          <w:p w14:paraId="75AF573F" w14:textId="520F4F36"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-1.90*</w:t>
            </w:r>
          </w:p>
        </w:tc>
      </w:tr>
      <w:tr w:rsidR="00C42504" w:rsidRPr="00CA2EA1" w14:paraId="25EA87B8" w14:textId="77777777" w:rsidTr="001B7BB1">
        <w:tc>
          <w:tcPr>
            <w:tcW w:w="3964" w:type="dxa"/>
          </w:tcPr>
          <w:p w14:paraId="12695D93" w14:textId="31656973"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9. Stationary dribble</w:t>
            </w:r>
          </w:p>
        </w:tc>
        <w:tc>
          <w:tcPr>
            <w:tcW w:w="1560" w:type="dxa"/>
          </w:tcPr>
          <w:p w14:paraId="6F379B67" w14:textId="1A8B1ED2"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-1.70*</w:t>
            </w:r>
          </w:p>
        </w:tc>
        <w:tc>
          <w:tcPr>
            <w:tcW w:w="1559" w:type="dxa"/>
          </w:tcPr>
          <w:p w14:paraId="4351B7CD" w14:textId="662A210C"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-3.30*</w:t>
            </w:r>
          </w:p>
        </w:tc>
        <w:tc>
          <w:tcPr>
            <w:tcW w:w="1593" w:type="dxa"/>
          </w:tcPr>
          <w:p w14:paraId="31051734" w14:textId="7942C37D"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-1.60*</w:t>
            </w:r>
          </w:p>
        </w:tc>
      </w:tr>
      <w:tr w:rsidR="00C42504" w:rsidRPr="00CA2EA1" w14:paraId="650BA1AB" w14:textId="77777777" w:rsidTr="001B7BB1">
        <w:tc>
          <w:tcPr>
            <w:tcW w:w="3964" w:type="dxa"/>
          </w:tcPr>
          <w:p w14:paraId="631C3A67" w14:textId="0A461682"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10. Two-hand catch</w:t>
            </w:r>
          </w:p>
        </w:tc>
        <w:tc>
          <w:tcPr>
            <w:tcW w:w="1560" w:type="dxa"/>
          </w:tcPr>
          <w:p w14:paraId="4CF96333" w14:textId="3DDA3698"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-1.70*</w:t>
            </w:r>
          </w:p>
        </w:tc>
        <w:tc>
          <w:tcPr>
            <w:tcW w:w="1559" w:type="dxa"/>
          </w:tcPr>
          <w:p w14:paraId="165F76F1" w14:textId="776D35FD"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-3.00*</w:t>
            </w:r>
          </w:p>
        </w:tc>
        <w:tc>
          <w:tcPr>
            <w:tcW w:w="1593" w:type="dxa"/>
          </w:tcPr>
          <w:p w14:paraId="6762C61A" w14:textId="33BD23C5"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-1.30*</w:t>
            </w:r>
          </w:p>
        </w:tc>
      </w:tr>
      <w:tr w:rsidR="00C42504" w:rsidRPr="00CA2EA1" w14:paraId="7FF39009" w14:textId="77777777" w:rsidTr="001B7BB1">
        <w:tc>
          <w:tcPr>
            <w:tcW w:w="3964" w:type="dxa"/>
          </w:tcPr>
          <w:p w14:paraId="464D390B" w14:textId="3DE9AD72"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11. Kick a stationary ball</w:t>
            </w:r>
          </w:p>
        </w:tc>
        <w:tc>
          <w:tcPr>
            <w:tcW w:w="1560" w:type="dxa"/>
          </w:tcPr>
          <w:p w14:paraId="1B923A9B" w14:textId="48AFB1C6"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-2.20*</w:t>
            </w:r>
          </w:p>
        </w:tc>
        <w:tc>
          <w:tcPr>
            <w:tcW w:w="1559" w:type="dxa"/>
          </w:tcPr>
          <w:p w14:paraId="53DF1D74" w14:textId="1743DE16"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-4.10*</w:t>
            </w:r>
          </w:p>
        </w:tc>
        <w:tc>
          <w:tcPr>
            <w:tcW w:w="1593" w:type="dxa"/>
          </w:tcPr>
          <w:p w14:paraId="3179E07B" w14:textId="21ABADB6"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-1.90*</w:t>
            </w:r>
          </w:p>
        </w:tc>
      </w:tr>
      <w:tr w:rsidR="00C42504" w:rsidRPr="00CA2EA1" w14:paraId="1916EF5A" w14:textId="77777777" w:rsidTr="001B7BB1">
        <w:tc>
          <w:tcPr>
            <w:tcW w:w="3964" w:type="dxa"/>
          </w:tcPr>
          <w:p w14:paraId="5FC73C90" w14:textId="1FE914EE"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12. Overhand throw</w:t>
            </w:r>
          </w:p>
        </w:tc>
        <w:tc>
          <w:tcPr>
            <w:tcW w:w="1560" w:type="dxa"/>
          </w:tcPr>
          <w:p w14:paraId="796B4FBA" w14:textId="4BD4C201"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-2.20*</w:t>
            </w:r>
          </w:p>
        </w:tc>
        <w:tc>
          <w:tcPr>
            <w:tcW w:w="1559" w:type="dxa"/>
          </w:tcPr>
          <w:p w14:paraId="24DE9699" w14:textId="3C238E82"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-4.40*</w:t>
            </w:r>
          </w:p>
        </w:tc>
        <w:tc>
          <w:tcPr>
            <w:tcW w:w="1593" w:type="dxa"/>
          </w:tcPr>
          <w:p w14:paraId="0A442102" w14:textId="3B1EEB84"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-2.20*</w:t>
            </w:r>
          </w:p>
        </w:tc>
      </w:tr>
      <w:tr w:rsidR="00C42504" w:rsidRPr="00CA2EA1" w14:paraId="0A26574D" w14:textId="77777777" w:rsidTr="001B7BB1">
        <w:tc>
          <w:tcPr>
            <w:tcW w:w="3964" w:type="dxa"/>
          </w:tcPr>
          <w:p w14:paraId="6E6AFED4" w14:textId="7BEFEA51"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13. Underhand roll</w:t>
            </w:r>
          </w:p>
        </w:tc>
        <w:tc>
          <w:tcPr>
            <w:tcW w:w="1560" w:type="dxa"/>
          </w:tcPr>
          <w:p w14:paraId="19BEEDD9" w14:textId="3DFD169B"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-1.94*</w:t>
            </w:r>
          </w:p>
        </w:tc>
        <w:tc>
          <w:tcPr>
            <w:tcW w:w="1559" w:type="dxa"/>
          </w:tcPr>
          <w:p w14:paraId="4CB767C9" w14:textId="31590D0E"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-4.04*</w:t>
            </w:r>
          </w:p>
        </w:tc>
        <w:tc>
          <w:tcPr>
            <w:tcW w:w="1593" w:type="dxa"/>
          </w:tcPr>
          <w:p w14:paraId="33156E93" w14:textId="40569645"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-2.10*</w:t>
            </w:r>
          </w:p>
        </w:tc>
      </w:tr>
      <w:tr w:rsidR="00C42504" w:rsidRPr="00CA2EA1" w14:paraId="40B95FF5" w14:textId="77777777" w:rsidTr="001B7BB1">
        <w:tc>
          <w:tcPr>
            <w:tcW w:w="3964" w:type="dxa"/>
          </w:tcPr>
          <w:p w14:paraId="2D522A02" w14:textId="22A309CE"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Total Object Control Score</w:t>
            </w:r>
          </w:p>
        </w:tc>
        <w:tc>
          <w:tcPr>
            <w:tcW w:w="1560" w:type="dxa"/>
          </w:tcPr>
          <w:p w14:paraId="44224B58" w14:textId="63BBE878"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-10.90</w:t>
            </w:r>
            <w:r w:rsidRPr="00CA2EA1">
              <w:rPr>
                <w:rFonts w:ascii="Times New Roman" w:eastAsia="Times New Roman" w:hAnsi="Times New Roman" w:cs="Times New Roman"/>
                <w:color w:val="000000"/>
                <w:kern w:val="0"/>
                <w:szCs w:val="24"/>
                <w14:ligatures w14:val="none"/>
              </w:rPr>
              <w:t>*</w:t>
            </w:r>
          </w:p>
        </w:tc>
        <w:tc>
          <w:tcPr>
            <w:tcW w:w="1559" w:type="dxa"/>
          </w:tcPr>
          <w:p w14:paraId="72B146C8" w14:textId="3AD22C1F"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-27.84</w:t>
            </w:r>
            <w:r w:rsidRPr="00CA2EA1">
              <w:rPr>
                <w:rFonts w:ascii="Times New Roman" w:eastAsia="Times New Roman" w:hAnsi="Times New Roman" w:cs="Times New Roman"/>
                <w:color w:val="000000"/>
                <w:kern w:val="0"/>
                <w:szCs w:val="24"/>
                <w14:ligatures w14:val="none"/>
              </w:rPr>
              <w:t>*</w:t>
            </w:r>
          </w:p>
        </w:tc>
        <w:tc>
          <w:tcPr>
            <w:tcW w:w="1593" w:type="dxa"/>
          </w:tcPr>
          <w:p w14:paraId="15F5625E" w14:textId="2BF363A6" w:rsidR="00C42504" w:rsidRPr="00CA2EA1" w:rsidRDefault="00C42504" w:rsidP="00C42504">
            <w:pPr>
              <w:adjustRightInd w:val="0"/>
              <w:snapToGrid w:val="0"/>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-16.94</w:t>
            </w:r>
            <w:r w:rsidRPr="00CA2EA1">
              <w:rPr>
                <w:rFonts w:ascii="Times New Roman" w:eastAsia="Times New Roman" w:hAnsi="Times New Roman" w:cs="Times New Roman"/>
                <w:color w:val="000000"/>
                <w:kern w:val="0"/>
                <w:szCs w:val="24"/>
                <w14:ligatures w14:val="none"/>
              </w:rPr>
              <w:t>*</w:t>
            </w:r>
          </w:p>
        </w:tc>
      </w:tr>
      <w:tr w:rsidR="00C42504" w:rsidRPr="00CA2EA1" w14:paraId="3A9FE454" w14:textId="77777777" w:rsidTr="001B7BB1">
        <w:tc>
          <w:tcPr>
            <w:tcW w:w="3964" w:type="dxa"/>
          </w:tcPr>
          <w:p w14:paraId="44FCBF70" w14:textId="23074CE6"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Total Gross Motor Score</w:t>
            </w:r>
          </w:p>
        </w:tc>
        <w:tc>
          <w:tcPr>
            <w:tcW w:w="1560" w:type="dxa"/>
          </w:tcPr>
          <w:p w14:paraId="2F490D78" w14:textId="6A1DD9FC"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-24.23</w:t>
            </w:r>
            <w:r w:rsidRPr="00CA2EA1">
              <w:rPr>
                <w:rFonts w:ascii="Times New Roman" w:eastAsia="Times New Roman" w:hAnsi="Times New Roman" w:cs="Times New Roman"/>
                <w:color w:val="000000"/>
                <w:kern w:val="0"/>
                <w:szCs w:val="24"/>
                <w14:ligatures w14:val="none"/>
              </w:rPr>
              <w:t>*</w:t>
            </w:r>
          </w:p>
        </w:tc>
        <w:tc>
          <w:tcPr>
            <w:tcW w:w="1559" w:type="dxa"/>
          </w:tcPr>
          <w:p w14:paraId="20969002" w14:textId="16408EDD"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-50.90</w:t>
            </w:r>
            <w:r w:rsidRPr="00CA2EA1">
              <w:rPr>
                <w:rFonts w:ascii="Times New Roman" w:eastAsia="Times New Roman" w:hAnsi="Times New Roman" w:cs="Times New Roman"/>
                <w:color w:val="000000"/>
                <w:kern w:val="0"/>
                <w:szCs w:val="24"/>
                <w14:ligatures w14:val="none"/>
              </w:rPr>
              <w:t>*</w:t>
            </w:r>
          </w:p>
        </w:tc>
        <w:tc>
          <w:tcPr>
            <w:tcW w:w="1593" w:type="dxa"/>
          </w:tcPr>
          <w:p w14:paraId="4B1F6748" w14:textId="45B5607E" w:rsidR="00C42504" w:rsidRPr="00CA2EA1" w:rsidRDefault="00C42504" w:rsidP="00C42504">
            <w:pPr>
              <w:adjustRightInd w:val="0"/>
              <w:snapToGrid w:val="0"/>
              <w:jc w:val="both"/>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-26.67</w:t>
            </w:r>
            <w:r w:rsidRPr="00CA2EA1">
              <w:rPr>
                <w:rFonts w:ascii="Times New Roman" w:eastAsia="Times New Roman" w:hAnsi="Times New Roman" w:cs="Times New Roman"/>
                <w:color w:val="000000"/>
                <w:kern w:val="0"/>
                <w:szCs w:val="24"/>
                <w14:ligatures w14:val="none"/>
              </w:rPr>
              <w:t>*</w:t>
            </w:r>
          </w:p>
        </w:tc>
      </w:tr>
    </w:tbl>
    <w:p w14:paraId="0B106832" w14:textId="77777777" w:rsidR="0002138F" w:rsidRPr="001B7BB1" w:rsidRDefault="0002138F" w:rsidP="0002138F">
      <w:pPr>
        <w:adjustRightInd w:val="0"/>
        <w:snapToGrid w:val="0"/>
        <w:spacing w:after="0" w:line="240" w:lineRule="auto"/>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 Mean Difference (MD) is significant at the .05 level.</w:t>
      </w:r>
    </w:p>
    <w:p w14:paraId="0F79EDA8" w14:textId="77777777" w:rsidR="0002138F" w:rsidRPr="00CA2EA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lastRenderedPageBreak/>
        <w:t>Table 3 unequivocally verifies that the motor competence of the experimental group exhibited statistically significant exponential growth across every learning interface (Mid &gt; Pre and Post &gt; Mid). This signifies the ultimate efficacy of a pedagogical design that successfully mitigates learning plateaus, ensuring a plateau-free learning trajectory.</w:t>
      </w:r>
    </w:p>
    <w:p w14:paraId="57B3D2FE" w14:textId="77777777" w:rsidR="002C1819" w:rsidRPr="00CA2EA1" w:rsidRDefault="002C1819"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539EEEF1" w14:textId="07279096" w:rsidR="0002138F" w:rsidRPr="001B7BB1" w:rsidRDefault="0002138F" w:rsidP="0002138F">
      <w:pPr>
        <w:adjustRightInd w:val="0"/>
        <w:snapToGrid w:val="0"/>
        <w:spacing w:after="0" w:line="240" w:lineRule="auto"/>
        <w:jc w:val="both"/>
        <w:outlineLvl w:val="1"/>
        <w:rPr>
          <w:rFonts w:ascii="Times New Roman" w:eastAsia="Times New Roman" w:hAnsi="Times New Roman" w:cs="Times New Roman"/>
          <w:b/>
          <w:bCs/>
          <w:color w:val="000000"/>
          <w:kern w:val="0"/>
          <w:sz w:val="28"/>
          <w:szCs w:val="28"/>
          <w14:ligatures w14:val="none"/>
        </w:rPr>
      </w:pPr>
      <w:r w:rsidRPr="001B7BB1">
        <w:rPr>
          <w:rFonts w:ascii="Times New Roman" w:eastAsia="Times New Roman" w:hAnsi="Times New Roman" w:cs="Times New Roman"/>
          <w:b/>
          <w:bCs/>
          <w:color w:val="000000"/>
          <w:kern w:val="0"/>
          <w:sz w:val="28"/>
          <w:szCs w:val="28"/>
          <w14:ligatures w14:val="none"/>
        </w:rPr>
        <w:t>Discussion</w:t>
      </w:r>
    </w:p>
    <w:p w14:paraId="117123E0" w14:textId="77777777" w:rsidR="001B7BB1" w:rsidRDefault="002C1819" w:rsidP="001B7BB1">
      <w:pPr>
        <w:adjustRightInd w:val="0"/>
        <w:snapToGrid w:val="0"/>
        <w:spacing w:after="0" w:line="240" w:lineRule="auto"/>
        <w:ind w:firstLine="567"/>
        <w:jc w:val="both"/>
        <w:outlineLvl w:val="1"/>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This study addresses a critical research gap by empirically validating the longitudinal efficacy of analog gamified pedagogy over traditional direct instruction in authentic physical education environments. The findings reveal extraordinary statistical anomalies; specifically, the experimental cohort outperformed the control group across all 13 TGMD-3 parameters with massive practical effect sizes (Cohen’s d ranging from 1.62 to 4.61). Analyzed through the lens of Ecological Dynamics and Cognitive Load Theory, these unprecedented disparities illuminate the pathological limitations of traditional drill-based instruction. Conventional reductionist pedagogies invariably induce cognitive fatigue and diminish intrinsic motivation, which actively suppresses the central nervous system’s capacity for neuromotor adaptation (Chow et al., 2021). Conversely, the analog gamified architecture by transmuting repetitive kinematic tasks into narrative-driven quests operates as a dopaminergic catalyst. Immediate symbolic rewards, such as badges and experience points, trigger neurochemical responses that optimize neuroplasticity, thereby automating complex kinematic chains far more rapidly than conventional methods (Fernandez-Rio et al., 2020).</w:t>
      </w:r>
    </w:p>
    <w:p w14:paraId="2367464C" w14:textId="77777777" w:rsidR="001B7BB1" w:rsidRDefault="002C1819" w:rsidP="001B7BB1">
      <w:pPr>
        <w:adjustRightInd w:val="0"/>
        <w:snapToGrid w:val="0"/>
        <w:spacing w:after="0" w:line="240" w:lineRule="auto"/>
        <w:ind w:firstLine="567"/>
        <w:jc w:val="both"/>
        <w:outlineLvl w:val="1"/>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Furthermore, the repeated measures analysis unveiled a continuous, exponential developmental trajectory (Pre &lt; Mid &lt; Post) devoid of standard learning plateaus. Synthesizing these longitudinal findings with Self-Determination Theory (SDT) elucidates the mechanism of this sustained growth (Vansteenkiste et al., 2020). In traditional settings, biomechanical errors during complex object control tasks often cultivate feelings of incompetence, prompting learner disengagement. However, the gamified constraints-led approach fundamentally alters the psychomotor assessment paradigm. By converting kinematic errors into progressive markers, the pedagogy robustly nurtures Perceived Motor Competence. This elevated self-efficacy exponentially increases the volume of purposeful, deliberate practice without the perception of exertion (Hulteen et al., 2018).</w:t>
      </w:r>
    </w:p>
    <w:p w14:paraId="4A80925D" w14:textId="77777777" w:rsidR="001B7BB1" w:rsidRDefault="002C1819" w:rsidP="001B7BB1">
      <w:pPr>
        <w:adjustRightInd w:val="0"/>
        <w:snapToGrid w:val="0"/>
        <w:spacing w:after="0" w:line="240" w:lineRule="auto"/>
        <w:ind w:firstLine="567"/>
        <w:jc w:val="both"/>
        <w:outlineLvl w:val="1"/>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Ultimately, these synthesized findings provide a definitive answer to the targeted research gap: carefully calibrated analog gamification is not merely a supplementary engagement tool, but a highly potent pedagogical mechanism. It successfully dismantles the "Proficiency Barrier," ensuring a seamless, plateau-free acquisition of foundational physical literacy in early primary school demographics (Sailer &amp; Homner, 2020).</w:t>
      </w:r>
    </w:p>
    <w:p w14:paraId="1B694C19" w14:textId="77777777" w:rsidR="00C42504" w:rsidRPr="00CA2EA1" w:rsidRDefault="00C42504"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3ECD908C" w14:textId="5CD8FB78" w:rsidR="0002138F" w:rsidRPr="001B7BB1" w:rsidRDefault="0002138F" w:rsidP="0002138F">
      <w:pPr>
        <w:adjustRightInd w:val="0"/>
        <w:snapToGrid w:val="0"/>
        <w:spacing w:after="0" w:line="240" w:lineRule="auto"/>
        <w:jc w:val="both"/>
        <w:outlineLvl w:val="1"/>
        <w:rPr>
          <w:rFonts w:ascii="Times New Roman" w:eastAsia="Times New Roman" w:hAnsi="Times New Roman" w:cs="Times New Roman"/>
          <w:b/>
          <w:bCs/>
          <w:color w:val="000000"/>
          <w:kern w:val="0"/>
          <w:sz w:val="28"/>
          <w:szCs w:val="28"/>
          <w14:ligatures w14:val="none"/>
        </w:rPr>
      </w:pPr>
      <w:r w:rsidRPr="001B7BB1">
        <w:rPr>
          <w:rFonts w:ascii="Times New Roman" w:eastAsia="Times New Roman" w:hAnsi="Times New Roman" w:cs="Times New Roman"/>
          <w:b/>
          <w:bCs/>
          <w:color w:val="000000"/>
          <w:kern w:val="0"/>
          <w:sz w:val="28"/>
          <w:szCs w:val="28"/>
          <w14:ligatures w14:val="none"/>
        </w:rPr>
        <w:t>Conclusions</w:t>
      </w:r>
    </w:p>
    <w:p w14:paraId="3DA696CB" w14:textId="23403BEB" w:rsidR="002C1819" w:rsidRPr="00CA2EA1" w:rsidRDefault="002C1819" w:rsidP="002C1819">
      <w:pPr>
        <w:adjustRightInd w:val="0"/>
        <w:snapToGrid w:val="0"/>
        <w:spacing w:after="0" w:line="240" w:lineRule="auto"/>
        <w:ind w:firstLine="720"/>
        <w:jc w:val="both"/>
        <w:outlineLvl w:val="1"/>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color w:val="000000"/>
          <w:kern w:val="0"/>
          <w:szCs w:val="24"/>
          <w14:ligatures w14:val="none"/>
        </w:rPr>
        <w:t>This empirical study successfully validated a 10-week gamified physical education program. The findings directly answer the research objectives by demonstrating that: (1) The constructed gamified program possesses exceptionally high efficacy in fostering fundamental motor skills. (2) Early primary students under gamified pedagogy achieved significantly superior post-intervention outcomes across all 13 locomotor and object control skills compared to traditional instruction, yielding extremely large effect sizes. (3) Learners experienced a continuous, cumulative motor developmental trajectory, completely circumventing learning plateaus. Conclusively, embedding game mechanics into the physical education curriculum is an indispensable, highly effective pedagogical paradigm for forging a lifelong foundation in physical literacy.</w:t>
      </w:r>
    </w:p>
    <w:p w14:paraId="3A455DDA" w14:textId="77777777" w:rsidR="002C1819" w:rsidRDefault="002C1819"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0041C2D1" w14:textId="77777777" w:rsidR="001B7BB1" w:rsidRDefault="001B7BB1"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02D86B65" w14:textId="77777777" w:rsidR="001B7BB1" w:rsidRDefault="001B7BB1"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6CF90EA4" w14:textId="77777777" w:rsidR="001B7BB1" w:rsidRPr="00CA2EA1" w:rsidRDefault="001B7BB1" w:rsidP="0002138F">
      <w:pPr>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2DE8E841" w14:textId="77777777" w:rsidR="001B7BB1" w:rsidRPr="001B7BB1" w:rsidRDefault="0002138F" w:rsidP="001B7BB1">
      <w:pPr>
        <w:adjustRightInd w:val="0"/>
        <w:snapToGrid w:val="0"/>
        <w:spacing w:after="0" w:line="240" w:lineRule="auto"/>
        <w:jc w:val="both"/>
        <w:outlineLvl w:val="1"/>
        <w:rPr>
          <w:rFonts w:ascii="Times New Roman" w:eastAsia="Times New Roman" w:hAnsi="Times New Roman" w:cs="Times New Roman"/>
          <w:b/>
          <w:bCs/>
          <w:color w:val="000000"/>
          <w:kern w:val="0"/>
          <w:sz w:val="28"/>
          <w:szCs w:val="28"/>
          <w14:ligatures w14:val="none"/>
        </w:rPr>
      </w:pPr>
      <w:r w:rsidRPr="001B7BB1">
        <w:rPr>
          <w:rFonts w:ascii="Times New Roman" w:eastAsia="Times New Roman" w:hAnsi="Times New Roman" w:cs="Times New Roman"/>
          <w:b/>
          <w:bCs/>
          <w:color w:val="000000"/>
          <w:kern w:val="0"/>
          <w:sz w:val="28"/>
          <w:szCs w:val="28"/>
          <w14:ligatures w14:val="none"/>
        </w:rPr>
        <w:lastRenderedPageBreak/>
        <w:t>Recommendations</w:t>
      </w:r>
    </w:p>
    <w:p w14:paraId="551807AE" w14:textId="1D931066" w:rsidR="0002138F" w:rsidRPr="00CA2EA1" w:rsidRDefault="0002138F" w:rsidP="001B7BB1">
      <w:pPr>
        <w:adjustRightInd w:val="0"/>
        <w:snapToGrid w:val="0"/>
        <w:spacing w:after="0" w:line="240" w:lineRule="auto"/>
        <w:ind w:firstLine="567"/>
        <w:jc w:val="both"/>
        <w:outlineLvl w:val="1"/>
        <w:rPr>
          <w:rFonts w:ascii="Times New Roman" w:eastAsia="Times New Roman" w:hAnsi="Times New Roman" w:cs="Times New Roman"/>
          <w:b/>
          <w:bCs/>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Practical Recommendations</w:t>
      </w:r>
    </w:p>
    <w:p w14:paraId="15EB79ED" w14:textId="77777777" w:rsidR="0002138F" w:rsidRPr="001B7BB1" w:rsidRDefault="0002138F" w:rsidP="001B7BB1">
      <w:pPr>
        <w:numPr>
          <w:ilvl w:val="0"/>
          <w:numId w:val="10"/>
        </w:numPr>
        <w:tabs>
          <w:tab w:val="left" w:pos="993"/>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Spatial Pedagogy Adaptation: Physical educators do not require expensive digital technologies to gamify a curriculum. Highly effective gamification can be achieved via analog systems such as whiteboards, physical quest cards, and stamp-based progress tracking. These tools are sufficient to trigger the psychological "flow state" and maximize Active Learning Time (ALT) on the field.</w:t>
      </w:r>
    </w:p>
    <w:p w14:paraId="4B7D2BBF" w14:textId="77777777" w:rsidR="001B7BB1" w:rsidRDefault="0002138F" w:rsidP="001B7BB1">
      <w:pPr>
        <w:numPr>
          <w:ilvl w:val="0"/>
          <w:numId w:val="10"/>
        </w:numPr>
        <w:tabs>
          <w:tab w:val="left" w:pos="993"/>
        </w:tabs>
        <w:adjustRightInd w:val="0"/>
        <w:snapToGrid w:val="0"/>
        <w:spacing w:after="0" w:line="240" w:lineRule="auto"/>
        <w:ind w:left="0" w:firstLine="567"/>
        <w:jc w:val="both"/>
        <w:outlineLvl w:val="2"/>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 xml:space="preserve">Systematic Feedback Mechanics: Educators should transition from generalized verbal praise (e.g., "Good job") to structured experience points (XP) that are explicitly tethered to biomechanical reference points </w:t>
      </w:r>
    </w:p>
    <w:p w14:paraId="7AEABF58" w14:textId="0DE2A914" w:rsidR="0002138F" w:rsidRPr="001B7BB1" w:rsidRDefault="0002138F" w:rsidP="001B7BB1">
      <w:pPr>
        <w:tabs>
          <w:tab w:val="left" w:pos="993"/>
        </w:tabs>
        <w:adjustRightInd w:val="0"/>
        <w:snapToGrid w:val="0"/>
        <w:spacing w:after="0" w:line="240" w:lineRule="auto"/>
        <w:ind w:left="567"/>
        <w:jc w:val="both"/>
        <w:outlineLvl w:val="2"/>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b/>
          <w:bCs/>
          <w:color w:val="000000"/>
          <w:kern w:val="0"/>
          <w:szCs w:val="24"/>
          <w14:ligatures w14:val="none"/>
        </w:rPr>
        <w:t>Policy Recommendations</w:t>
      </w:r>
    </w:p>
    <w:p w14:paraId="075F8648" w14:textId="76AF287B" w:rsidR="001B7BB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color w:val="000000"/>
          <w:kern w:val="0"/>
          <w:szCs w:val="24"/>
          <w14:ligatures w14:val="none"/>
        </w:rPr>
        <w:t>School administrators and the Ministry of Education must prioritize the integration of "Gamified Pedagogy" modules into the core professional development and licensing evaluations for 21st-century physical education and health teachers.</w:t>
      </w:r>
    </w:p>
    <w:p w14:paraId="28B3949D" w14:textId="793BD4CC" w:rsidR="0002138F" w:rsidRPr="001B7BB1" w:rsidRDefault="0002138F" w:rsidP="001B7BB1">
      <w:pPr>
        <w:adjustRightInd w:val="0"/>
        <w:snapToGrid w:val="0"/>
        <w:spacing w:after="0" w:line="240" w:lineRule="auto"/>
        <w:ind w:firstLine="567"/>
        <w:jc w:val="both"/>
        <w:rPr>
          <w:rFonts w:ascii="Times New Roman" w:eastAsia="Times New Roman" w:hAnsi="Times New Roman" w:cs="Times New Roman"/>
          <w:color w:val="000000"/>
          <w:kern w:val="0"/>
          <w:szCs w:val="24"/>
          <w14:ligatures w14:val="none"/>
        </w:rPr>
      </w:pPr>
      <w:r w:rsidRPr="00CA2EA1">
        <w:rPr>
          <w:rFonts w:ascii="Times New Roman" w:eastAsia="Times New Roman" w:hAnsi="Times New Roman" w:cs="Times New Roman"/>
          <w:b/>
          <w:bCs/>
          <w:color w:val="000000"/>
          <w:kern w:val="0"/>
          <w:szCs w:val="24"/>
          <w14:ligatures w14:val="none"/>
        </w:rPr>
        <w:t>Recommendations for Future Research</w:t>
      </w:r>
    </w:p>
    <w:p w14:paraId="0C590D93" w14:textId="77777777" w:rsidR="0002138F" w:rsidRPr="001B7BB1" w:rsidRDefault="0002138F" w:rsidP="001B7BB1">
      <w:pPr>
        <w:numPr>
          <w:ilvl w:val="0"/>
          <w:numId w:val="12"/>
        </w:numPr>
        <w:tabs>
          <w:tab w:val="clear" w:pos="720"/>
          <w:tab w:val="left" w:pos="993"/>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Longitudinal Retention Testing: Future studies should incorporate retention tests conducted 3 to 6 months post-intervention to verify the long-term durability of the neuromotor adaptations acquired through gamified learning.</w:t>
      </w:r>
    </w:p>
    <w:p w14:paraId="4F6A7F44" w14:textId="77777777" w:rsidR="0002138F" w:rsidRPr="001B7BB1" w:rsidRDefault="0002138F" w:rsidP="001B7BB1">
      <w:pPr>
        <w:numPr>
          <w:ilvl w:val="0"/>
          <w:numId w:val="12"/>
        </w:numPr>
        <w:tabs>
          <w:tab w:val="clear" w:pos="720"/>
          <w:tab w:val="left" w:pos="993"/>
        </w:tabs>
        <w:adjustRightInd w:val="0"/>
        <w:snapToGrid w:val="0"/>
        <w:spacing w:after="0" w:line="240" w:lineRule="auto"/>
        <w:ind w:left="0" w:firstLine="567"/>
        <w:jc w:val="both"/>
        <w:rPr>
          <w:rFonts w:ascii="Times New Roman" w:eastAsia="Times New Roman" w:hAnsi="Times New Roman" w:cs="Times New Roman"/>
          <w:color w:val="000000"/>
          <w:kern w:val="0"/>
          <w:szCs w:val="24"/>
          <w14:ligatures w14:val="none"/>
        </w:rPr>
      </w:pPr>
      <w:r w:rsidRPr="001B7BB1">
        <w:rPr>
          <w:rFonts w:ascii="Times New Roman" w:eastAsia="Times New Roman" w:hAnsi="Times New Roman" w:cs="Times New Roman"/>
          <w:color w:val="000000"/>
          <w:kern w:val="0"/>
          <w:szCs w:val="24"/>
          <w14:ligatures w14:val="none"/>
        </w:rPr>
        <w:t>Demographic Expansion and Psychological Variables: Research boundaries should be expanded to include populations with specific motor delays or autism spectrum disorders (ASD). Furthermore, integrating psychological instruments, such as the Intrinsic Motivation Inventory (IMI), will help synthesize behavioral sciences with kinesiology for a more holistic academic understanding.</w:t>
      </w:r>
    </w:p>
    <w:p w14:paraId="04AAFCA0" w14:textId="77777777" w:rsidR="0002138F" w:rsidRPr="00CA2EA1" w:rsidRDefault="0002138F" w:rsidP="00875889">
      <w:pPr>
        <w:tabs>
          <w:tab w:val="left" w:pos="993"/>
        </w:tabs>
        <w:adjustRightInd w:val="0"/>
        <w:snapToGrid w:val="0"/>
        <w:spacing w:after="0" w:line="240" w:lineRule="auto"/>
        <w:jc w:val="both"/>
        <w:outlineLvl w:val="1"/>
        <w:rPr>
          <w:rFonts w:ascii="Times New Roman" w:eastAsia="Times New Roman" w:hAnsi="Times New Roman" w:cs="Times New Roman"/>
          <w:b/>
          <w:bCs/>
          <w:color w:val="000000"/>
          <w:kern w:val="0"/>
          <w:szCs w:val="24"/>
          <w14:ligatures w14:val="none"/>
        </w:rPr>
      </w:pPr>
    </w:p>
    <w:p w14:paraId="2A9114EF" w14:textId="3713A287" w:rsidR="002C1819" w:rsidRPr="001B7BB1" w:rsidRDefault="0002138F" w:rsidP="001B7BB1">
      <w:pPr>
        <w:adjustRightInd w:val="0"/>
        <w:snapToGrid w:val="0"/>
        <w:spacing w:after="0" w:line="240" w:lineRule="auto"/>
        <w:jc w:val="both"/>
        <w:outlineLvl w:val="1"/>
        <w:rPr>
          <w:rFonts w:ascii="Times New Roman" w:eastAsia="Times New Roman" w:hAnsi="Times New Roman" w:cs="Times New Roman"/>
          <w:b/>
          <w:bCs/>
          <w:color w:val="000000"/>
          <w:kern w:val="0"/>
          <w:sz w:val="28"/>
          <w:szCs w:val="28"/>
          <w14:ligatures w14:val="none"/>
        </w:rPr>
      </w:pPr>
      <w:r w:rsidRPr="001B7BB1">
        <w:rPr>
          <w:rFonts w:ascii="Times New Roman" w:eastAsia="Times New Roman" w:hAnsi="Times New Roman" w:cs="Times New Roman"/>
          <w:b/>
          <w:bCs/>
          <w:color w:val="000000"/>
          <w:kern w:val="0"/>
          <w:sz w:val="28"/>
          <w:szCs w:val="28"/>
          <w14:ligatures w14:val="none"/>
        </w:rPr>
        <w:t>References</w:t>
      </w:r>
    </w:p>
    <w:p w14:paraId="1ADCD81D" w14:textId="77777777" w:rsidR="002C1819" w:rsidRPr="00CA2EA1" w:rsidRDefault="002C1819" w:rsidP="001B7BB1">
      <w:pPr>
        <w:pStyle w:val="NormalWeb"/>
        <w:adjustRightInd w:val="0"/>
        <w:snapToGrid w:val="0"/>
        <w:spacing w:before="0" w:beforeAutospacing="0" w:after="0" w:afterAutospacing="0"/>
        <w:ind w:left="851" w:hanging="851"/>
        <w:jc w:val="thaiDistribute"/>
        <w:rPr>
          <w:color w:val="000000"/>
        </w:rPr>
      </w:pPr>
      <w:r w:rsidRPr="00CA2EA1">
        <w:rPr>
          <w:color w:val="000000"/>
        </w:rPr>
        <w:t>Barnett, L. M., Lai, S. K., Veldman, S. L. C., Hardy, L. L., Cliff, D. P., Morgan, P. J., ... &amp; Okely, A. D. (2016). Correlates of gross motor competence in children and adolescents: A systematic review and meta-analysis.</w:t>
      </w:r>
      <w:r w:rsidRPr="00CA2EA1">
        <w:rPr>
          <w:rStyle w:val="apple-converted-space"/>
          <w:rFonts w:eastAsiaTheme="majorEastAsia"/>
          <w:color w:val="000000"/>
        </w:rPr>
        <w:t> </w:t>
      </w:r>
      <w:r w:rsidRPr="00CA2EA1">
        <w:rPr>
          <w:rStyle w:val="Emphasis"/>
          <w:rFonts w:eastAsiaTheme="majorEastAsia"/>
          <w:color w:val="000000"/>
        </w:rPr>
        <w:t>Sports Medicine, 46</w:t>
      </w:r>
      <w:r w:rsidRPr="00CA2EA1">
        <w:rPr>
          <w:color w:val="000000"/>
        </w:rPr>
        <w:t>(11), 1663–1690. https://doi.org/10.1007/s40279-016-0495-z</w:t>
      </w:r>
    </w:p>
    <w:p w14:paraId="255B885C" w14:textId="1FEFC443" w:rsidR="002C1819" w:rsidRPr="00CA2EA1" w:rsidRDefault="002C1819" w:rsidP="001B7BB1">
      <w:pPr>
        <w:pStyle w:val="NormalWeb"/>
        <w:adjustRightInd w:val="0"/>
        <w:snapToGrid w:val="0"/>
        <w:spacing w:before="0" w:beforeAutospacing="0" w:after="0" w:afterAutospacing="0"/>
        <w:ind w:left="851" w:hanging="851"/>
        <w:jc w:val="thaiDistribute"/>
        <w:rPr>
          <w:color w:val="000000"/>
        </w:rPr>
      </w:pPr>
      <w:r w:rsidRPr="00CA2EA1">
        <w:rPr>
          <w:color w:val="000000"/>
        </w:rPr>
        <w:t>Chow, J. Y., Davids, K., Button, C., &amp; Renshaw, I. (2021).</w:t>
      </w:r>
      <w:r w:rsidRPr="00CA2EA1">
        <w:rPr>
          <w:rStyle w:val="apple-converted-space"/>
          <w:rFonts w:eastAsiaTheme="majorEastAsia"/>
          <w:color w:val="000000"/>
        </w:rPr>
        <w:t> </w:t>
      </w:r>
      <w:r w:rsidRPr="00CA2EA1">
        <w:rPr>
          <w:rStyle w:val="Emphasis"/>
          <w:rFonts w:eastAsiaTheme="majorEastAsia"/>
          <w:color w:val="000000"/>
        </w:rPr>
        <w:t>Nonlinear pedagogy in skill acquisition: An introduction</w:t>
      </w:r>
      <w:r w:rsidRPr="00CA2EA1">
        <w:rPr>
          <w:rStyle w:val="apple-converted-space"/>
          <w:rFonts w:eastAsiaTheme="majorEastAsia"/>
          <w:color w:val="000000"/>
        </w:rPr>
        <w:t> </w:t>
      </w:r>
      <w:r w:rsidRPr="00CA2EA1">
        <w:rPr>
          <w:color w:val="000000"/>
        </w:rPr>
        <w:t>(2nd ed.). Routledge. https://doi.org/10.4324/9781003025371</w:t>
      </w:r>
    </w:p>
    <w:p w14:paraId="41DC536B" w14:textId="77777777" w:rsidR="002C1819" w:rsidRPr="00CA2EA1" w:rsidRDefault="002C1819" w:rsidP="001B7BB1">
      <w:pPr>
        <w:pStyle w:val="NormalWeb"/>
        <w:adjustRightInd w:val="0"/>
        <w:snapToGrid w:val="0"/>
        <w:spacing w:before="0" w:beforeAutospacing="0" w:after="0" w:afterAutospacing="0"/>
        <w:ind w:left="851" w:hanging="851"/>
        <w:jc w:val="thaiDistribute"/>
        <w:rPr>
          <w:color w:val="000000"/>
        </w:rPr>
      </w:pPr>
      <w:r w:rsidRPr="00CA2EA1">
        <w:rPr>
          <w:color w:val="000000"/>
        </w:rPr>
        <w:t>Fernandez-Rio, J., de las Heras, E., González, T., Trillo, V., &amp; Palomares, J. (2020). Gamification and physical education. Viability and preliminary views from students and teachers.</w:t>
      </w:r>
      <w:r w:rsidRPr="00CA2EA1">
        <w:rPr>
          <w:rStyle w:val="apple-converted-space"/>
          <w:rFonts w:eastAsiaTheme="majorEastAsia"/>
          <w:color w:val="000000"/>
        </w:rPr>
        <w:t> </w:t>
      </w:r>
      <w:r w:rsidRPr="00CA2EA1">
        <w:rPr>
          <w:rStyle w:val="Emphasis"/>
          <w:rFonts w:eastAsiaTheme="majorEastAsia"/>
          <w:color w:val="000000"/>
        </w:rPr>
        <w:t>Physical Education and Sport Pedagogy, 25</w:t>
      </w:r>
      <w:r w:rsidRPr="00CA2EA1">
        <w:rPr>
          <w:color w:val="000000"/>
        </w:rPr>
        <w:t>(5), 509–524. https://doi.org/10.1080/17408989.2020.1743253</w:t>
      </w:r>
    </w:p>
    <w:p w14:paraId="3C79158D" w14:textId="5E1B4438" w:rsidR="002C1819" w:rsidRPr="00CA2EA1" w:rsidRDefault="002C1819" w:rsidP="001B7BB1">
      <w:pPr>
        <w:pStyle w:val="NormalWeb"/>
        <w:adjustRightInd w:val="0"/>
        <w:snapToGrid w:val="0"/>
        <w:spacing w:before="0" w:beforeAutospacing="0" w:after="0" w:afterAutospacing="0"/>
        <w:ind w:left="851" w:hanging="851"/>
        <w:jc w:val="thaiDistribute"/>
        <w:rPr>
          <w:color w:val="000000"/>
        </w:rPr>
      </w:pPr>
      <w:r w:rsidRPr="00CA2EA1">
        <w:rPr>
          <w:color w:val="000000"/>
        </w:rPr>
        <w:t>Gao, Z., Zeng, N., Pope, Z. C., Wang, R., &amp; Yu, F. (2019). Effects of exergaming on motor skill competence, perceived competence, and physical activity in preschool children.</w:t>
      </w:r>
      <w:r w:rsidRPr="00CA2EA1">
        <w:rPr>
          <w:rStyle w:val="apple-converted-space"/>
          <w:rFonts w:eastAsiaTheme="majorEastAsia"/>
          <w:color w:val="000000"/>
        </w:rPr>
        <w:t> </w:t>
      </w:r>
      <w:r w:rsidRPr="00CA2EA1">
        <w:rPr>
          <w:rStyle w:val="Emphasis"/>
          <w:rFonts w:eastAsiaTheme="majorEastAsia"/>
          <w:color w:val="000000"/>
        </w:rPr>
        <w:t>Journal of Sport and Health Science, 8</w:t>
      </w:r>
      <w:r w:rsidRPr="00CA2EA1">
        <w:rPr>
          <w:color w:val="000000"/>
        </w:rPr>
        <w:t>(2), 106–113. https://doi.org/10.1016/j.jshs.2018.12.001</w:t>
      </w:r>
    </w:p>
    <w:p w14:paraId="0C3C885C" w14:textId="77777777" w:rsidR="002C1819" w:rsidRPr="00CA2EA1" w:rsidRDefault="002C1819" w:rsidP="001B7BB1">
      <w:pPr>
        <w:pStyle w:val="NormalWeb"/>
        <w:adjustRightInd w:val="0"/>
        <w:snapToGrid w:val="0"/>
        <w:spacing w:before="0" w:beforeAutospacing="0" w:after="0" w:afterAutospacing="0"/>
        <w:ind w:left="851" w:hanging="851"/>
        <w:jc w:val="thaiDistribute"/>
        <w:rPr>
          <w:color w:val="000000"/>
        </w:rPr>
      </w:pPr>
      <w:r w:rsidRPr="00CA2EA1">
        <w:rPr>
          <w:color w:val="000000"/>
        </w:rPr>
        <w:t>Hulteen, R. M., Morgan, P. J., Barnett, L. M., Stodden, D. F., &amp; Lubans, D. R. (2018). Development of foundational movement skills: A conceptual model for physical activity across the lifespan.</w:t>
      </w:r>
      <w:r w:rsidRPr="00CA2EA1">
        <w:rPr>
          <w:rStyle w:val="apple-converted-space"/>
          <w:rFonts w:eastAsiaTheme="majorEastAsia"/>
          <w:color w:val="000000"/>
        </w:rPr>
        <w:t> </w:t>
      </w:r>
      <w:r w:rsidRPr="00CA2EA1">
        <w:rPr>
          <w:rStyle w:val="Emphasis"/>
          <w:rFonts w:eastAsiaTheme="majorEastAsia"/>
          <w:color w:val="000000"/>
        </w:rPr>
        <w:t>Sports Medicine, 48</w:t>
      </w:r>
      <w:r w:rsidRPr="00CA2EA1">
        <w:rPr>
          <w:color w:val="000000"/>
        </w:rPr>
        <w:t>(7), 1533–1540. https://doi.org/10.1007/s40279-018-0892-6</w:t>
      </w:r>
    </w:p>
    <w:p w14:paraId="263C1C32" w14:textId="021E6E4D" w:rsidR="002C1819" w:rsidRPr="00CA2EA1" w:rsidRDefault="002C1819" w:rsidP="001B7BB1">
      <w:pPr>
        <w:pStyle w:val="NormalWeb"/>
        <w:adjustRightInd w:val="0"/>
        <w:snapToGrid w:val="0"/>
        <w:spacing w:before="0" w:beforeAutospacing="0" w:after="0" w:afterAutospacing="0"/>
        <w:ind w:left="851" w:hanging="851"/>
        <w:jc w:val="thaiDistribute"/>
        <w:rPr>
          <w:color w:val="000000"/>
        </w:rPr>
      </w:pPr>
      <w:r w:rsidRPr="00CA2EA1">
        <w:rPr>
          <w:color w:val="000000"/>
        </w:rPr>
        <w:t>Renshaw, I., Davids, K., &amp; Newcombe, D. (2019).</w:t>
      </w:r>
      <w:r w:rsidRPr="00CA2EA1">
        <w:rPr>
          <w:rStyle w:val="apple-converted-space"/>
          <w:rFonts w:eastAsiaTheme="majorEastAsia"/>
          <w:color w:val="000000"/>
        </w:rPr>
        <w:t> </w:t>
      </w:r>
      <w:r w:rsidRPr="00CA2EA1">
        <w:rPr>
          <w:rStyle w:val="Emphasis"/>
          <w:rFonts w:eastAsiaTheme="majorEastAsia"/>
          <w:color w:val="000000"/>
        </w:rPr>
        <w:t>Motor learning in practice: A constraints-led approach</w:t>
      </w:r>
      <w:r w:rsidRPr="00CA2EA1">
        <w:rPr>
          <w:rStyle w:val="apple-converted-space"/>
          <w:rFonts w:eastAsiaTheme="majorEastAsia"/>
          <w:color w:val="000000"/>
        </w:rPr>
        <w:t> </w:t>
      </w:r>
      <w:r w:rsidRPr="00CA2EA1">
        <w:rPr>
          <w:color w:val="000000"/>
        </w:rPr>
        <w:t>(2nd ed.). Routledge. https://doi.org/10.4324/9780429447433</w:t>
      </w:r>
    </w:p>
    <w:p w14:paraId="6B126295" w14:textId="77777777" w:rsidR="002C1819" w:rsidRPr="00CA2EA1" w:rsidRDefault="002C1819" w:rsidP="001B7BB1">
      <w:pPr>
        <w:pStyle w:val="NormalWeb"/>
        <w:adjustRightInd w:val="0"/>
        <w:snapToGrid w:val="0"/>
        <w:spacing w:before="0" w:beforeAutospacing="0" w:after="0" w:afterAutospacing="0"/>
        <w:ind w:left="851" w:hanging="851"/>
        <w:jc w:val="thaiDistribute"/>
        <w:rPr>
          <w:color w:val="000000"/>
        </w:rPr>
      </w:pPr>
      <w:r w:rsidRPr="00CA2EA1">
        <w:rPr>
          <w:color w:val="000000"/>
        </w:rPr>
        <w:t>Sailer, M., &amp; Homner, L. (2020). The gamification of learning: a meta-analysis.</w:t>
      </w:r>
      <w:r w:rsidRPr="00CA2EA1">
        <w:rPr>
          <w:rStyle w:val="apple-converted-space"/>
          <w:rFonts w:eastAsiaTheme="majorEastAsia"/>
          <w:color w:val="000000"/>
        </w:rPr>
        <w:t> </w:t>
      </w:r>
      <w:r w:rsidRPr="00CA2EA1">
        <w:rPr>
          <w:rStyle w:val="Emphasis"/>
          <w:rFonts w:eastAsiaTheme="majorEastAsia"/>
          <w:color w:val="000000"/>
        </w:rPr>
        <w:t>Educational Psychology Review, 32</w:t>
      </w:r>
      <w:r w:rsidRPr="00CA2EA1">
        <w:rPr>
          <w:color w:val="000000"/>
        </w:rPr>
        <w:t>(1), 77–112. https://doi.org/10.1007/s10648-019-09498-w</w:t>
      </w:r>
    </w:p>
    <w:p w14:paraId="09F743F2" w14:textId="77777777" w:rsidR="002C1819" w:rsidRPr="00CA2EA1" w:rsidRDefault="002C1819" w:rsidP="001B7BB1">
      <w:pPr>
        <w:pStyle w:val="NormalWeb"/>
        <w:adjustRightInd w:val="0"/>
        <w:snapToGrid w:val="0"/>
        <w:spacing w:before="0" w:beforeAutospacing="0" w:after="0" w:afterAutospacing="0"/>
        <w:ind w:left="851" w:hanging="851"/>
        <w:jc w:val="thaiDistribute"/>
        <w:rPr>
          <w:color w:val="000000"/>
        </w:rPr>
      </w:pPr>
      <w:r w:rsidRPr="00CA2EA1">
        <w:rPr>
          <w:color w:val="000000"/>
        </w:rPr>
        <w:t>Ulrich, D. A. (2019).</w:t>
      </w:r>
      <w:r w:rsidRPr="00CA2EA1">
        <w:rPr>
          <w:rStyle w:val="apple-converted-space"/>
          <w:rFonts w:eastAsiaTheme="majorEastAsia"/>
          <w:color w:val="000000"/>
        </w:rPr>
        <w:t> </w:t>
      </w:r>
      <w:r w:rsidRPr="00CA2EA1">
        <w:rPr>
          <w:rStyle w:val="Emphasis"/>
          <w:rFonts w:eastAsiaTheme="majorEastAsia"/>
          <w:color w:val="000000"/>
        </w:rPr>
        <w:t>Test of Gross Motor Development</w:t>
      </w:r>
      <w:r w:rsidRPr="00CA2EA1">
        <w:rPr>
          <w:rStyle w:val="apple-converted-space"/>
          <w:rFonts w:eastAsiaTheme="majorEastAsia"/>
          <w:color w:val="000000"/>
        </w:rPr>
        <w:t> </w:t>
      </w:r>
      <w:r w:rsidRPr="00CA2EA1">
        <w:rPr>
          <w:color w:val="000000"/>
        </w:rPr>
        <w:t>(3rd ed.). Pro-Ed.</w:t>
      </w:r>
    </w:p>
    <w:p w14:paraId="63815DBC" w14:textId="2AB1EADC" w:rsidR="00F5124A" w:rsidRPr="001B7BB1" w:rsidRDefault="002C1819" w:rsidP="001B7BB1">
      <w:pPr>
        <w:pStyle w:val="NormalWeb"/>
        <w:adjustRightInd w:val="0"/>
        <w:snapToGrid w:val="0"/>
        <w:spacing w:before="0" w:beforeAutospacing="0" w:after="0" w:afterAutospacing="0"/>
        <w:ind w:left="851" w:hanging="851"/>
        <w:jc w:val="thaiDistribute"/>
        <w:rPr>
          <w:color w:val="000000"/>
        </w:rPr>
      </w:pPr>
      <w:r w:rsidRPr="00CA2EA1">
        <w:rPr>
          <w:color w:val="000000"/>
        </w:rPr>
        <w:t>Vansteenkiste, M., Ryan, R. M., &amp; Soenens, B. (2020). Basic psychological need theory: Advancements, critical themes, and future directions.</w:t>
      </w:r>
      <w:r w:rsidRPr="00CA2EA1">
        <w:rPr>
          <w:rStyle w:val="apple-converted-space"/>
          <w:rFonts w:eastAsiaTheme="majorEastAsia"/>
          <w:color w:val="000000"/>
        </w:rPr>
        <w:t> </w:t>
      </w:r>
      <w:r w:rsidRPr="00CA2EA1">
        <w:rPr>
          <w:rStyle w:val="Emphasis"/>
          <w:rFonts w:eastAsiaTheme="majorEastAsia"/>
          <w:color w:val="000000"/>
        </w:rPr>
        <w:t>Motivation and Emotion, 44</w:t>
      </w:r>
      <w:r w:rsidRPr="00CA2EA1">
        <w:rPr>
          <w:color w:val="000000"/>
        </w:rPr>
        <w:t>(1), 1–31. https://doi.org/10.1007/s11031-019-09818-1</w:t>
      </w:r>
    </w:p>
    <w:sectPr w:rsidR="00F5124A" w:rsidRPr="001B7BB1" w:rsidSect="00CA2EA1">
      <w:pgSz w:w="11906" w:h="16838"/>
      <w:pgMar w:top="1418" w:right="1134" w:bottom="1134" w:left="1418" w:header="851" w:footer="992" w:gutter="0"/>
      <w:cols w:space="708"/>
      <w:titlePg/>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3E73"/>
    <w:multiLevelType w:val="multilevel"/>
    <w:tmpl w:val="F464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64DC3"/>
    <w:multiLevelType w:val="multilevel"/>
    <w:tmpl w:val="1438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818BF"/>
    <w:multiLevelType w:val="multilevel"/>
    <w:tmpl w:val="31C22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21FB1"/>
    <w:multiLevelType w:val="multilevel"/>
    <w:tmpl w:val="06B498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C95FFC"/>
    <w:multiLevelType w:val="multilevel"/>
    <w:tmpl w:val="3BD4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620A0"/>
    <w:multiLevelType w:val="hybridMultilevel"/>
    <w:tmpl w:val="81DEB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907A2"/>
    <w:multiLevelType w:val="hybridMultilevel"/>
    <w:tmpl w:val="CA76A428"/>
    <w:lvl w:ilvl="0" w:tplc="23306D72">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B1D524D"/>
    <w:multiLevelType w:val="multilevel"/>
    <w:tmpl w:val="14A08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830935"/>
    <w:multiLevelType w:val="multilevel"/>
    <w:tmpl w:val="D602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56ADC"/>
    <w:multiLevelType w:val="multilevel"/>
    <w:tmpl w:val="89AE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66914"/>
    <w:multiLevelType w:val="multilevel"/>
    <w:tmpl w:val="E4BA4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1B38B6"/>
    <w:multiLevelType w:val="multilevel"/>
    <w:tmpl w:val="B93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93293"/>
    <w:multiLevelType w:val="multilevel"/>
    <w:tmpl w:val="CE68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6F1C95"/>
    <w:multiLevelType w:val="hybridMultilevel"/>
    <w:tmpl w:val="5B1EE0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B60C5"/>
    <w:multiLevelType w:val="multilevel"/>
    <w:tmpl w:val="5B94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5248559">
    <w:abstractNumId w:val="14"/>
  </w:num>
  <w:num w:numId="2" w16cid:durableId="81337954">
    <w:abstractNumId w:val="1"/>
  </w:num>
  <w:num w:numId="3" w16cid:durableId="343746134">
    <w:abstractNumId w:val="8"/>
  </w:num>
  <w:num w:numId="4" w16cid:durableId="2083946479">
    <w:abstractNumId w:val="11"/>
  </w:num>
  <w:num w:numId="5" w16cid:durableId="1011031980">
    <w:abstractNumId w:val="9"/>
  </w:num>
  <w:num w:numId="6" w16cid:durableId="32076208">
    <w:abstractNumId w:val="4"/>
  </w:num>
  <w:num w:numId="7" w16cid:durableId="236474871">
    <w:abstractNumId w:val="3"/>
  </w:num>
  <w:num w:numId="8" w16cid:durableId="505747030">
    <w:abstractNumId w:val="2"/>
  </w:num>
  <w:num w:numId="9" w16cid:durableId="1681854586">
    <w:abstractNumId w:val="12"/>
  </w:num>
  <w:num w:numId="10" w16cid:durableId="1327398703">
    <w:abstractNumId w:val="7"/>
  </w:num>
  <w:num w:numId="11" w16cid:durableId="1821267972">
    <w:abstractNumId w:val="0"/>
  </w:num>
  <w:num w:numId="12" w16cid:durableId="173618328">
    <w:abstractNumId w:val="10"/>
  </w:num>
  <w:num w:numId="13" w16cid:durableId="677200336">
    <w:abstractNumId w:val="13"/>
  </w:num>
  <w:num w:numId="14" w16cid:durableId="846677248">
    <w:abstractNumId w:val="5"/>
  </w:num>
  <w:num w:numId="15" w16cid:durableId="261762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20"/>
  <w:drawingGridVerticalSpacing w:val="163"/>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8F"/>
    <w:rsid w:val="000129C8"/>
    <w:rsid w:val="0002138F"/>
    <w:rsid w:val="000B154F"/>
    <w:rsid w:val="0011647B"/>
    <w:rsid w:val="0019281F"/>
    <w:rsid w:val="0019415D"/>
    <w:rsid w:val="00194377"/>
    <w:rsid w:val="001A7AAC"/>
    <w:rsid w:val="001B7BB1"/>
    <w:rsid w:val="00235C77"/>
    <w:rsid w:val="002600FD"/>
    <w:rsid w:val="00265019"/>
    <w:rsid w:val="002652A3"/>
    <w:rsid w:val="0026764A"/>
    <w:rsid w:val="00293A20"/>
    <w:rsid w:val="002C1819"/>
    <w:rsid w:val="00301E08"/>
    <w:rsid w:val="00311DCE"/>
    <w:rsid w:val="00380C7C"/>
    <w:rsid w:val="00384D1A"/>
    <w:rsid w:val="003901D4"/>
    <w:rsid w:val="003C3F94"/>
    <w:rsid w:val="003C7F2C"/>
    <w:rsid w:val="003E2B86"/>
    <w:rsid w:val="003F60FA"/>
    <w:rsid w:val="00422010"/>
    <w:rsid w:val="00454049"/>
    <w:rsid w:val="004663C7"/>
    <w:rsid w:val="004D6E5F"/>
    <w:rsid w:val="00541D55"/>
    <w:rsid w:val="005864E7"/>
    <w:rsid w:val="005902CC"/>
    <w:rsid w:val="005975C3"/>
    <w:rsid w:val="005E6209"/>
    <w:rsid w:val="005F3D12"/>
    <w:rsid w:val="005F58E0"/>
    <w:rsid w:val="00620ACB"/>
    <w:rsid w:val="00667C0E"/>
    <w:rsid w:val="006B5957"/>
    <w:rsid w:val="006C6E7C"/>
    <w:rsid w:val="006E7AAB"/>
    <w:rsid w:val="007050E9"/>
    <w:rsid w:val="007D5865"/>
    <w:rsid w:val="007E2DF8"/>
    <w:rsid w:val="00822E42"/>
    <w:rsid w:val="00875889"/>
    <w:rsid w:val="008E7675"/>
    <w:rsid w:val="00975EFB"/>
    <w:rsid w:val="00993808"/>
    <w:rsid w:val="009A5064"/>
    <w:rsid w:val="009F228B"/>
    <w:rsid w:val="009F23C8"/>
    <w:rsid w:val="00A30001"/>
    <w:rsid w:val="00A306AA"/>
    <w:rsid w:val="00A31B72"/>
    <w:rsid w:val="00A74C57"/>
    <w:rsid w:val="00A95AD6"/>
    <w:rsid w:val="00AA7784"/>
    <w:rsid w:val="00AC4B53"/>
    <w:rsid w:val="00AD3F78"/>
    <w:rsid w:val="00AD7661"/>
    <w:rsid w:val="00B07EF7"/>
    <w:rsid w:val="00B50400"/>
    <w:rsid w:val="00BD3C02"/>
    <w:rsid w:val="00BE4C53"/>
    <w:rsid w:val="00C339A1"/>
    <w:rsid w:val="00C371D5"/>
    <w:rsid w:val="00C42504"/>
    <w:rsid w:val="00C917A3"/>
    <w:rsid w:val="00CA2EA1"/>
    <w:rsid w:val="00CD4924"/>
    <w:rsid w:val="00D404A4"/>
    <w:rsid w:val="00E40D93"/>
    <w:rsid w:val="00E441B5"/>
    <w:rsid w:val="00EA73DF"/>
    <w:rsid w:val="00ED29E8"/>
    <w:rsid w:val="00F0727D"/>
    <w:rsid w:val="00F43529"/>
    <w:rsid w:val="00F5124A"/>
    <w:rsid w:val="00F7064C"/>
    <w:rsid w:val="00F87C8B"/>
    <w:rsid w:val="00FA53FE"/>
  </w:rsids>
  <m:mathPr>
    <m:mathFont m:val="Cambria Math"/>
    <m:brkBin m:val="before"/>
    <m:brkBinSub m:val="--"/>
    <m:smallFrac m:val="0"/>
    <m:dispDef/>
    <m:lMargin m:val="0"/>
    <m:rMargin m:val="0"/>
    <m:defJc m:val="centerGroup"/>
    <m:wrapIndent m:val="1440"/>
    <m:intLim m:val="subSup"/>
    <m:naryLim m:val="undOvr"/>
  </m:mathPr>
  <w:themeFontLang w:val="en-T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4753"/>
  <w15:chartTrackingRefBased/>
  <w15:docId w15:val="{F18F3FD8-DAF9-9B4D-BF2E-8474293A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30"/>
        <w:lang w:val="en-TH"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basedOn w:val="Normal"/>
    <w:next w:val="Normal"/>
    <w:link w:val="Heading1Char"/>
    <w:uiPriority w:val="9"/>
    <w:qFormat/>
    <w:rsid w:val="0002138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02138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02138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21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38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02138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02138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21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38F"/>
    <w:rPr>
      <w:rFonts w:eastAsiaTheme="majorEastAsia" w:cstheme="majorBidi"/>
      <w:color w:val="272727" w:themeColor="text1" w:themeTint="D8"/>
    </w:rPr>
  </w:style>
  <w:style w:type="paragraph" w:styleId="Title">
    <w:name w:val="Title"/>
    <w:basedOn w:val="Normal"/>
    <w:next w:val="Normal"/>
    <w:link w:val="TitleChar"/>
    <w:uiPriority w:val="10"/>
    <w:qFormat/>
    <w:rsid w:val="0002138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213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2138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213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2138F"/>
    <w:pPr>
      <w:spacing w:before="160"/>
      <w:jc w:val="center"/>
    </w:pPr>
    <w:rPr>
      <w:i/>
      <w:iCs/>
      <w:color w:val="404040" w:themeColor="text1" w:themeTint="BF"/>
    </w:rPr>
  </w:style>
  <w:style w:type="character" w:customStyle="1" w:styleId="QuoteChar">
    <w:name w:val="Quote Char"/>
    <w:basedOn w:val="DefaultParagraphFont"/>
    <w:link w:val="Quote"/>
    <w:uiPriority w:val="29"/>
    <w:rsid w:val="0002138F"/>
    <w:rPr>
      <w:rFonts w:cs="Angsana New"/>
      <w:i/>
      <w:iCs/>
      <w:color w:val="404040" w:themeColor="text1" w:themeTint="BF"/>
    </w:rPr>
  </w:style>
  <w:style w:type="paragraph" w:styleId="ListParagraph">
    <w:name w:val="List Paragraph"/>
    <w:basedOn w:val="Normal"/>
    <w:uiPriority w:val="34"/>
    <w:qFormat/>
    <w:rsid w:val="0002138F"/>
    <w:pPr>
      <w:ind w:left="720"/>
      <w:contextualSpacing/>
    </w:pPr>
  </w:style>
  <w:style w:type="character" w:styleId="IntenseEmphasis">
    <w:name w:val="Intense Emphasis"/>
    <w:basedOn w:val="DefaultParagraphFont"/>
    <w:uiPriority w:val="21"/>
    <w:qFormat/>
    <w:rsid w:val="0002138F"/>
    <w:rPr>
      <w:i/>
      <w:iCs/>
      <w:color w:val="0F4761" w:themeColor="accent1" w:themeShade="BF"/>
    </w:rPr>
  </w:style>
  <w:style w:type="paragraph" w:styleId="IntenseQuote">
    <w:name w:val="Intense Quote"/>
    <w:basedOn w:val="Normal"/>
    <w:next w:val="Normal"/>
    <w:link w:val="IntenseQuoteChar"/>
    <w:uiPriority w:val="30"/>
    <w:qFormat/>
    <w:rsid w:val="0002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38F"/>
    <w:rPr>
      <w:rFonts w:cs="Angsana New"/>
      <w:i/>
      <w:iCs/>
      <w:color w:val="0F4761" w:themeColor="accent1" w:themeShade="BF"/>
    </w:rPr>
  </w:style>
  <w:style w:type="character" w:styleId="IntenseReference">
    <w:name w:val="Intense Reference"/>
    <w:basedOn w:val="DefaultParagraphFont"/>
    <w:uiPriority w:val="32"/>
    <w:qFormat/>
    <w:rsid w:val="0002138F"/>
    <w:rPr>
      <w:b/>
      <w:bCs/>
      <w:smallCaps/>
      <w:color w:val="0F4761" w:themeColor="accent1" w:themeShade="BF"/>
      <w:spacing w:val="5"/>
    </w:rPr>
  </w:style>
  <w:style w:type="paragraph" w:styleId="NormalWeb">
    <w:name w:val="Normal (Web)"/>
    <w:basedOn w:val="Normal"/>
    <w:uiPriority w:val="99"/>
    <w:unhideWhenUsed/>
    <w:rsid w:val="0002138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02138F"/>
    <w:rPr>
      <w:b/>
      <w:bCs/>
    </w:rPr>
  </w:style>
  <w:style w:type="character" w:customStyle="1" w:styleId="apple-converted-space">
    <w:name w:val="apple-converted-space"/>
    <w:basedOn w:val="DefaultParagraphFont"/>
    <w:rsid w:val="0002138F"/>
  </w:style>
  <w:style w:type="character" w:styleId="Emphasis">
    <w:name w:val="Emphasis"/>
    <w:basedOn w:val="DefaultParagraphFont"/>
    <w:uiPriority w:val="20"/>
    <w:qFormat/>
    <w:rsid w:val="0002138F"/>
    <w:rPr>
      <w:i/>
      <w:iCs/>
    </w:rPr>
  </w:style>
  <w:style w:type="table" w:styleId="TableGrid">
    <w:name w:val="Table Grid"/>
    <w:basedOn w:val="TableNormal"/>
    <w:uiPriority w:val="39"/>
    <w:rsid w:val="00BD3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EA1"/>
    <w:rPr>
      <w:color w:val="467886" w:themeColor="hyperlink"/>
      <w:u w:val="single"/>
    </w:rPr>
  </w:style>
  <w:style w:type="character" w:styleId="UnresolvedMention">
    <w:name w:val="Unresolved Mention"/>
    <w:basedOn w:val="DefaultParagraphFont"/>
    <w:uiPriority w:val="99"/>
    <w:semiHidden/>
    <w:unhideWhenUsed/>
    <w:rsid w:val="00CA2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3414</Words>
  <Characters>21271</Characters>
  <Application>Microsoft Office Word</Application>
  <DocSecurity>0</DocSecurity>
  <Lines>850</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twisute tongde</dc:creator>
  <cp:keywords/>
  <dc:description/>
  <cp:lastModifiedBy>Mine Techophat</cp:lastModifiedBy>
  <cp:revision>5</cp:revision>
  <cp:lastPrinted>2026-03-27T14:08:00Z</cp:lastPrinted>
  <dcterms:created xsi:type="dcterms:W3CDTF">2026-03-27T11:04:00Z</dcterms:created>
  <dcterms:modified xsi:type="dcterms:W3CDTF">2026-03-29T09:23:00Z</dcterms:modified>
</cp:coreProperties>
</file>