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DAE6" w14:textId="506676B7" w:rsidR="00BB4CF6" w:rsidRPr="00D96CFB" w:rsidRDefault="00000000" w:rsidP="001C5C41">
      <w:pPr>
        <w:jc w:val="center"/>
        <w:rPr>
          <w:rFonts w:cs="Times New Roman"/>
          <w:b/>
          <w:bCs/>
          <w:color w:val="000000" w:themeColor="text1"/>
          <w:sz w:val="28"/>
          <w:szCs w:val="28"/>
        </w:rPr>
      </w:pPr>
      <w:r w:rsidRPr="00D96CFB">
        <w:rPr>
          <w:rFonts w:cs="Times New Roman"/>
          <w:b/>
          <w:bCs/>
          <w:color w:val="000000" w:themeColor="text1"/>
          <w:sz w:val="28"/>
          <w:szCs w:val="28"/>
        </w:rPr>
        <w:t>EFFECTS OF A BADMINTON-SPECIFIC PHYSICAL FITNESS PROGRAMME ON AEROBIC CAPACITY,CORE STRENGTH, AND MOVEMENT FLUENCY IN AMATEUR PLAYERS</w:t>
      </w:r>
    </w:p>
    <w:p w14:paraId="18DD73DB" w14:textId="77777777" w:rsidR="001C5C41" w:rsidRPr="001C5C41" w:rsidRDefault="001C5C41" w:rsidP="001C5C41">
      <w:pPr>
        <w:jc w:val="center"/>
        <w:rPr>
          <w:rFonts w:cs="Times New Roman"/>
          <w:color w:val="000000" w:themeColor="text1"/>
        </w:rPr>
      </w:pPr>
    </w:p>
    <w:p w14:paraId="2D898964" w14:textId="1DA7108C" w:rsidR="00BB4CF6" w:rsidRPr="001C5C41" w:rsidRDefault="00000000" w:rsidP="001C5C41">
      <w:pPr>
        <w:jc w:val="right"/>
        <w:rPr>
          <w:rFonts w:cs="Times New Roman"/>
          <w:color w:val="000000" w:themeColor="text1"/>
        </w:rPr>
      </w:pPr>
      <w:r w:rsidRPr="001C5C41">
        <w:rPr>
          <w:rFonts w:cs="Times New Roman"/>
          <w:color w:val="000000" w:themeColor="text1"/>
        </w:rPr>
        <w:t>Pan Yongji*,  Pornteap Leethong-in,  and Wisute Tongdecharoen</w:t>
      </w:r>
    </w:p>
    <w:p w14:paraId="10688105" w14:textId="303A9EC1" w:rsidR="00BB4CF6" w:rsidRPr="001C5C41" w:rsidRDefault="00000000" w:rsidP="001C5C41">
      <w:pPr>
        <w:jc w:val="right"/>
        <w:rPr>
          <w:rFonts w:cs="Times New Roman"/>
          <w:color w:val="000000" w:themeColor="text1"/>
        </w:rPr>
      </w:pPr>
      <w:r w:rsidRPr="001C5C41">
        <w:rPr>
          <w:rFonts w:cs="Times New Roman"/>
          <w:color w:val="000000" w:themeColor="text1"/>
        </w:rPr>
        <w:t>Faculty of Sports Science and Technology, Bangkokthonburi University, Bangkok, Thailand</w:t>
      </w:r>
    </w:p>
    <w:p w14:paraId="145D8A22" w14:textId="77777777" w:rsidR="001C5C41" w:rsidRDefault="001C5C41" w:rsidP="001C5C41">
      <w:pPr>
        <w:jc w:val="thaiDistribute"/>
        <w:rPr>
          <w:rFonts w:cs="Times New Roman"/>
          <w:b/>
          <w:bCs/>
          <w:color w:val="000000" w:themeColor="text1"/>
        </w:rPr>
      </w:pPr>
    </w:p>
    <w:p w14:paraId="142A5F6E" w14:textId="7A1F0DB3" w:rsidR="00BB4CF6" w:rsidRPr="001C5C41" w:rsidRDefault="00000000" w:rsidP="001C5C41">
      <w:pPr>
        <w:jc w:val="thaiDistribute"/>
        <w:rPr>
          <w:rFonts w:cs="Times New Roman"/>
          <w:color w:val="000000" w:themeColor="text1"/>
          <w:sz w:val="28"/>
          <w:szCs w:val="28"/>
        </w:rPr>
      </w:pPr>
      <w:r w:rsidRPr="001C5C41">
        <w:rPr>
          <w:rFonts w:cs="Times New Roman"/>
          <w:b/>
          <w:bCs/>
          <w:color w:val="000000" w:themeColor="text1"/>
          <w:sz w:val="28"/>
          <w:szCs w:val="28"/>
        </w:rPr>
        <w:t>Abstract</w:t>
      </w:r>
    </w:p>
    <w:p w14:paraId="389BC4CB" w14:textId="613DF89D" w:rsidR="00BB4CF6" w:rsidRDefault="00000000" w:rsidP="001C5C41">
      <w:pPr>
        <w:spacing w:before="60"/>
        <w:ind w:right="-46" w:firstLine="720"/>
        <w:jc w:val="thaiDistribute"/>
        <w:rPr>
          <w:rFonts w:cs="Times New Roman"/>
          <w:color w:val="000000" w:themeColor="text1"/>
        </w:rPr>
      </w:pPr>
      <w:r w:rsidRPr="001C5C41">
        <w:rPr>
          <w:rFonts w:cs="Times New Roman"/>
          <w:color w:val="000000" w:themeColor="text1"/>
        </w:rPr>
        <w:t>This study pursued three objectives: (1) to investigate the current physical fitness status of amateur adult badminton players; (2) to design and validate a badminton-specific physical fitness programme; and (3) to implement and evaluate the programme's effects on aerobic capacity, core strength, and movement fluency. A mixed-methods design was employed comprising a needs-assessment survey of 186 players and 7 coaches, expert interviews (n = 9) and focus group discussions (n = 9) for programme development, and a 12-week quasi-experimental pretest–midtest–posttest control group trial. Fifty intermediate-level players at Taizhou Badminton Club were systematically allocated into an experimental group (n = 25) and a control group (n = 25). The experimental group followed the developed programme</w:t>
      </w:r>
      <w:r w:rsidR="00CD3EA4" w:rsidRPr="001C5C41">
        <w:rPr>
          <w:rFonts w:cs="Times New Roman"/>
          <w:color w:val="000000" w:themeColor="text1"/>
        </w:rPr>
        <w:t xml:space="preserve"> </w:t>
      </w:r>
      <w:r w:rsidRPr="001C5C41">
        <w:rPr>
          <w:rFonts w:cs="Times New Roman"/>
          <w:color w:val="000000" w:themeColor="text1"/>
        </w:rPr>
        <w:t>integrating sport-specific high-intensity interval training (HIIT), functional core exercises, and reactive agility drills</w:t>
      </w:r>
      <w:r w:rsidR="00CD3EA4" w:rsidRPr="001C5C41">
        <w:rPr>
          <w:rFonts w:cs="Times New Roman"/>
          <w:color w:val="000000" w:themeColor="text1"/>
        </w:rPr>
        <w:t xml:space="preserve"> </w:t>
      </w:r>
      <w:r w:rsidRPr="001C5C41">
        <w:rPr>
          <w:rFonts w:cs="Times New Roman"/>
          <w:color w:val="000000" w:themeColor="text1"/>
        </w:rPr>
        <w:t>while the control group continued with traditional technical-focused training. Outcomes were assessed via the 20-Metre Shuttle Run Test, Plank Test, and Badcamp Agility Test. Programme content validity was confirmed at IOC = 0.90. Pre-test equivalence was established between groups (all *p &gt; .05). Post-test results revealed that the experimental group achieved significantly superior aerobic capacity, core strength, and movement fluency compared with the control group (all *p &lt; .05). Within the experimental group, one-way repeated-measures ANOVA confirmed progressive, significant improvements across all three time points (F = 35.20– 98.34; all *p &lt; .05). The developed programme constitutes a valid, practically deployable approach for advancing the physical performance of amateur badminton players.</w:t>
      </w:r>
    </w:p>
    <w:p w14:paraId="285CAB64" w14:textId="77777777" w:rsidR="001C5C41" w:rsidRPr="001C5C41" w:rsidRDefault="001C5C41" w:rsidP="001C5C41">
      <w:pPr>
        <w:spacing w:before="60"/>
        <w:ind w:left="720" w:right="720"/>
        <w:jc w:val="thaiDistribute"/>
        <w:rPr>
          <w:rFonts w:cs="Times New Roman"/>
          <w:color w:val="000000" w:themeColor="text1"/>
        </w:rPr>
      </w:pPr>
    </w:p>
    <w:p w14:paraId="4AD984AD" w14:textId="77777777" w:rsidR="00BB4CF6" w:rsidRDefault="00000000" w:rsidP="001C5C41">
      <w:pPr>
        <w:spacing w:before="40"/>
        <w:jc w:val="thaiDistribute"/>
        <w:rPr>
          <w:rFonts w:cs="Times New Roman"/>
          <w:color w:val="000000" w:themeColor="text1"/>
        </w:rPr>
      </w:pPr>
      <w:r w:rsidRPr="00D96CFB">
        <w:rPr>
          <w:rFonts w:cs="Times New Roman"/>
          <w:b/>
          <w:bCs/>
          <w:i/>
          <w:iCs/>
          <w:color w:val="000000" w:themeColor="text1"/>
        </w:rPr>
        <w:t>Keywords:</w:t>
      </w:r>
      <w:r w:rsidRPr="001C5C41">
        <w:rPr>
          <w:rFonts w:cs="Times New Roman"/>
          <w:b/>
          <w:bCs/>
          <w:color w:val="000000" w:themeColor="text1"/>
        </w:rPr>
        <w:t xml:space="preserve"> </w:t>
      </w:r>
      <w:r w:rsidRPr="001C5C41">
        <w:rPr>
          <w:rFonts w:cs="Times New Roman"/>
          <w:color w:val="000000" w:themeColor="text1"/>
        </w:rPr>
        <w:t>Badminton-Specific Physical Fitness Programme, Aerobic Capacity, Core Strength, Movement Fluency, Amateur Players</w:t>
      </w:r>
    </w:p>
    <w:p w14:paraId="4C059E0D" w14:textId="77777777" w:rsidR="00D96CFB" w:rsidRDefault="00D96CFB" w:rsidP="001C5C41">
      <w:pPr>
        <w:spacing w:before="40"/>
        <w:jc w:val="thaiDistribute"/>
        <w:rPr>
          <w:rFonts w:cs="Times New Roman"/>
          <w:color w:val="000000" w:themeColor="text1"/>
          <w:lang w:eastAsia="zh-CN"/>
        </w:rPr>
      </w:pPr>
    </w:p>
    <w:p w14:paraId="0ABA62BB" w14:textId="77777777" w:rsidR="00D96CFB" w:rsidRDefault="00D96CFB" w:rsidP="001C5C41">
      <w:pPr>
        <w:spacing w:before="40"/>
        <w:jc w:val="thaiDistribute"/>
        <w:rPr>
          <w:rFonts w:cs="Times New Roman"/>
          <w:color w:val="000000" w:themeColor="text1"/>
          <w:lang w:eastAsia="zh-CN"/>
        </w:rPr>
      </w:pPr>
    </w:p>
    <w:p w14:paraId="2953B1B7" w14:textId="77777777" w:rsidR="00D96CFB" w:rsidRDefault="00D96CFB" w:rsidP="001C5C41">
      <w:pPr>
        <w:spacing w:before="40"/>
        <w:jc w:val="thaiDistribute"/>
        <w:rPr>
          <w:rFonts w:cs="Times New Roman"/>
          <w:color w:val="000000" w:themeColor="text1"/>
          <w:lang w:eastAsia="zh-CN"/>
        </w:rPr>
      </w:pPr>
    </w:p>
    <w:p w14:paraId="646D925A" w14:textId="77777777" w:rsidR="00D96CFB" w:rsidRDefault="00D96CFB" w:rsidP="001C5C41">
      <w:pPr>
        <w:spacing w:before="40"/>
        <w:jc w:val="thaiDistribute"/>
        <w:rPr>
          <w:rFonts w:cs="Times New Roman"/>
          <w:color w:val="000000" w:themeColor="text1"/>
          <w:lang w:eastAsia="zh-CN"/>
        </w:rPr>
      </w:pPr>
    </w:p>
    <w:p w14:paraId="0E9ABC25" w14:textId="77777777" w:rsidR="00D96CFB" w:rsidRDefault="00D96CFB" w:rsidP="001C5C41">
      <w:pPr>
        <w:spacing w:before="40"/>
        <w:jc w:val="thaiDistribute"/>
        <w:rPr>
          <w:rFonts w:cs="Times New Roman"/>
          <w:color w:val="000000" w:themeColor="text1"/>
          <w:lang w:eastAsia="zh-CN"/>
        </w:rPr>
      </w:pPr>
    </w:p>
    <w:p w14:paraId="1EB5A664" w14:textId="77777777" w:rsidR="00D96CFB" w:rsidRDefault="00D96CFB" w:rsidP="001C5C41">
      <w:pPr>
        <w:spacing w:before="40"/>
        <w:jc w:val="thaiDistribute"/>
        <w:rPr>
          <w:rFonts w:cs="Times New Roman"/>
          <w:color w:val="000000" w:themeColor="text1"/>
          <w:lang w:eastAsia="zh-CN"/>
        </w:rPr>
      </w:pPr>
    </w:p>
    <w:p w14:paraId="2313D17E" w14:textId="77777777" w:rsidR="00D96CFB" w:rsidRDefault="00D96CFB" w:rsidP="001C5C41">
      <w:pPr>
        <w:spacing w:before="40"/>
        <w:jc w:val="thaiDistribute"/>
        <w:rPr>
          <w:rFonts w:cs="Times New Roman"/>
          <w:color w:val="000000" w:themeColor="text1"/>
          <w:lang w:eastAsia="zh-CN"/>
        </w:rPr>
      </w:pPr>
    </w:p>
    <w:p w14:paraId="426C8D32" w14:textId="77777777" w:rsidR="00D96CFB" w:rsidRDefault="00D96CFB" w:rsidP="001C5C41">
      <w:pPr>
        <w:spacing w:before="40"/>
        <w:jc w:val="thaiDistribute"/>
        <w:rPr>
          <w:rFonts w:cs="Times New Roman"/>
          <w:color w:val="000000" w:themeColor="text1"/>
          <w:lang w:eastAsia="zh-CN"/>
        </w:rPr>
      </w:pPr>
    </w:p>
    <w:p w14:paraId="747E68E9" w14:textId="77777777" w:rsidR="00D96CFB" w:rsidRDefault="00D96CFB" w:rsidP="001C5C41">
      <w:pPr>
        <w:spacing w:before="40"/>
        <w:jc w:val="thaiDistribute"/>
        <w:rPr>
          <w:rFonts w:cs="Times New Roman"/>
          <w:color w:val="000000" w:themeColor="text1"/>
          <w:lang w:eastAsia="zh-CN"/>
        </w:rPr>
      </w:pPr>
    </w:p>
    <w:p w14:paraId="7B8F729C" w14:textId="77777777" w:rsidR="00D96CFB" w:rsidRDefault="00D96CFB" w:rsidP="001C5C41">
      <w:pPr>
        <w:spacing w:before="40"/>
        <w:jc w:val="thaiDistribute"/>
        <w:rPr>
          <w:rFonts w:cs="Times New Roman"/>
          <w:color w:val="000000" w:themeColor="text1"/>
          <w:lang w:eastAsia="zh-CN"/>
        </w:rPr>
      </w:pPr>
    </w:p>
    <w:p w14:paraId="53F481A1" w14:textId="77777777" w:rsidR="00D96CFB" w:rsidRDefault="00D96CFB" w:rsidP="001C5C41">
      <w:pPr>
        <w:spacing w:before="40"/>
        <w:jc w:val="thaiDistribute"/>
        <w:rPr>
          <w:rFonts w:cs="Times New Roman"/>
          <w:color w:val="000000" w:themeColor="text1"/>
          <w:lang w:eastAsia="zh-CN"/>
        </w:rPr>
      </w:pPr>
    </w:p>
    <w:p w14:paraId="204AF52B" w14:textId="77777777" w:rsidR="00D96CFB" w:rsidRDefault="00D96CFB" w:rsidP="001C5C41">
      <w:pPr>
        <w:spacing w:before="40"/>
        <w:jc w:val="thaiDistribute"/>
        <w:rPr>
          <w:rFonts w:cs="Times New Roman"/>
          <w:color w:val="000000" w:themeColor="text1"/>
          <w:lang w:eastAsia="zh-CN"/>
        </w:rPr>
      </w:pPr>
    </w:p>
    <w:p w14:paraId="44C8840E" w14:textId="77777777" w:rsidR="00D96CFB" w:rsidRDefault="00D96CFB" w:rsidP="001C5C41">
      <w:pPr>
        <w:spacing w:before="40"/>
        <w:jc w:val="thaiDistribute"/>
        <w:rPr>
          <w:rFonts w:cs="Times New Roman"/>
          <w:color w:val="000000" w:themeColor="text1"/>
          <w:lang w:eastAsia="zh-CN"/>
        </w:rPr>
      </w:pPr>
    </w:p>
    <w:p w14:paraId="30B289A6" w14:textId="77777777" w:rsidR="00D96CFB" w:rsidRPr="001C5C41" w:rsidRDefault="00D96CFB" w:rsidP="001C5C41">
      <w:pPr>
        <w:spacing w:before="40"/>
        <w:jc w:val="thaiDistribute"/>
        <w:rPr>
          <w:rFonts w:cs="Times New Roman" w:hint="eastAsia"/>
          <w:color w:val="000000" w:themeColor="text1"/>
          <w:lang w:eastAsia="zh-CN"/>
        </w:rPr>
      </w:pPr>
    </w:p>
    <w:p w14:paraId="15C3AE07" w14:textId="094DC8F8" w:rsidR="00BB4CF6" w:rsidRPr="00D96CFB" w:rsidRDefault="00000000" w:rsidP="001C5C41">
      <w:pPr>
        <w:pBdr>
          <w:top w:val="single" w:sz="4" w:space="1" w:color="auto"/>
        </w:pBdr>
        <w:spacing w:before="40"/>
        <w:jc w:val="thaiDistribute"/>
        <w:rPr>
          <w:rFonts w:cs="Times New Roman" w:hint="eastAsia"/>
          <w:i/>
          <w:iCs/>
          <w:color w:val="000000" w:themeColor="text1"/>
          <w:sz w:val="21"/>
          <w:szCs w:val="21"/>
          <w:lang w:eastAsia="zh-CN"/>
        </w:rPr>
      </w:pPr>
      <w:r w:rsidRPr="00D96CFB">
        <w:rPr>
          <w:rFonts w:cs="Times New Roman"/>
          <w:i/>
          <w:iCs/>
          <w:color w:val="000000" w:themeColor="text1"/>
          <w:sz w:val="21"/>
          <w:szCs w:val="21"/>
        </w:rPr>
        <w:t xml:space="preserve">Corresponding Author: Pan Yongji, Faculty of Sports Science and Technology, Bangkokthonburi University, Thailand.  Email: </w:t>
      </w:r>
      <w:r w:rsidR="00D96CFB" w:rsidRPr="00D96CFB">
        <w:rPr>
          <w:rFonts w:cs="Times New Roman" w:hint="eastAsia"/>
          <w:i/>
          <w:iCs/>
          <w:sz w:val="21"/>
          <w:szCs w:val="21"/>
          <w:lang w:bidi="ar"/>
        </w:rPr>
        <w:t>895557761@qq.com</w:t>
      </w:r>
    </w:p>
    <w:p w14:paraId="5A2A298A" w14:textId="77777777" w:rsidR="00BB4CF6" w:rsidRPr="00D96CFB" w:rsidRDefault="00000000" w:rsidP="00AF34E3">
      <w:pPr>
        <w:snapToGrid w:val="0"/>
        <w:jc w:val="thaiDistribute"/>
        <w:rPr>
          <w:rFonts w:cs="Times New Roman"/>
          <w:color w:val="000000" w:themeColor="text1"/>
          <w:sz w:val="28"/>
          <w:szCs w:val="28"/>
        </w:rPr>
      </w:pPr>
      <w:r w:rsidRPr="00D96CFB">
        <w:rPr>
          <w:rFonts w:cs="Times New Roman"/>
          <w:b/>
          <w:bCs/>
          <w:color w:val="000000" w:themeColor="text1"/>
          <w:sz w:val="28"/>
          <w:szCs w:val="28"/>
        </w:rPr>
        <w:t>Introduction</w:t>
      </w:r>
    </w:p>
    <w:p w14:paraId="1E886EC6" w14:textId="449AC505"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lastRenderedPageBreak/>
        <w:t>Badminton is one of the most physically demanding racket sports, requiring athletes to execute explosive accelerations, abrupt directional changes, and overhead striking actions within intervals of six to ten seconds, separated by brief recovery periods (Phomsoupha &amp; Laffaye, 2015). This intermittent, high-intensity pattern places concurrent demands on aerobic endurance, trunk stabilisation, and multi-directional movement coordination</w:t>
      </w:r>
      <w:r w:rsidR="00CD3EA4" w:rsidRPr="001C5C41">
        <w:rPr>
          <w:rFonts w:cs="Times New Roman"/>
          <w:color w:val="000000" w:themeColor="text1"/>
        </w:rPr>
        <w:t xml:space="preserve"> </w:t>
      </w:r>
      <w:r w:rsidRPr="001C5C41">
        <w:rPr>
          <w:rFonts w:cs="Times New Roman"/>
          <w:color w:val="000000" w:themeColor="text1"/>
        </w:rPr>
        <w:t>three qualities that determine sustained on-court performance and injury resilience alike. At the amateur level, however, these physiological prerequisites routinely go unaddressed. Recreational clubs characteristically prioritise stroke repetition and tactical drills over structured conditioning, leaving players ill-equipped for the metabolic and neuromuscular demands of extended match play. The downstream consequences are predictable: rapid mid-match fatigue, deteriorating stroke quality, and balance failure during rapid positional transitions.</w:t>
      </w:r>
    </w:p>
    <w:p w14:paraId="730E5B06" w14:textId="7D3D4DE5"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A needs-assessment survey at Taizhou Badminton Club</w:t>
      </w:r>
      <w:r w:rsidR="00CD3EA4" w:rsidRPr="001C5C41">
        <w:rPr>
          <w:rFonts w:cs="Times New Roman"/>
          <w:color w:val="000000" w:themeColor="text1"/>
        </w:rPr>
        <w:t xml:space="preserve"> </w:t>
      </w:r>
      <w:r w:rsidRPr="001C5C41">
        <w:rPr>
          <w:rFonts w:cs="Times New Roman"/>
          <w:color w:val="000000" w:themeColor="text1"/>
        </w:rPr>
        <w:t>representative of community-level clubs across urban China</w:t>
      </w:r>
      <w:r w:rsidR="00CD3EA4" w:rsidRPr="001C5C41">
        <w:rPr>
          <w:rFonts w:cs="Times New Roman"/>
          <w:color w:val="000000" w:themeColor="text1"/>
        </w:rPr>
        <w:t xml:space="preserve"> </w:t>
      </w:r>
      <w:r w:rsidRPr="001C5C41">
        <w:rPr>
          <w:rFonts w:cs="Times New Roman"/>
          <w:color w:val="000000" w:themeColor="text1"/>
        </w:rPr>
        <w:t>documented the scope of this problem. Among 186 players aged 18–25 years, 78% reported experiencing premature fatigue during competition, 65% identified difficulty maintaining balance during rapid movement, and 72% noted visible declines in technical quality during the second half of matches. Coaches corroborated these observations, rating their current inclusion of aerobic conditioning (x̄ = 2.15) and core strength work (x̄ = 2.05) as poor, despite acknowledging both as essential for performance. Research confirms that amateur players typically attain VO₂max values of 45–50 mL·kg⁻¹·min⁻¹</w:t>
      </w:r>
      <w:r w:rsidR="00CD3EA4" w:rsidRPr="001C5C41">
        <w:rPr>
          <w:rFonts w:cs="Times New Roman"/>
          <w:color w:val="000000" w:themeColor="text1"/>
        </w:rPr>
        <w:t xml:space="preserve"> </w:t>
      </w:r>
      <w:r w:rsidRPr="001C5C41">
        <w:rPr>
          <w:rFonts w:cs="Times New Roman"/>
          <w:color w:val="000000" w:themeColor="text1"/>
        </w:rPr>
        <w:t>substantially below the 55–65 mL·kg⁻¹·min⁻¹ reported for elite competitors</w:t>
      </w:r>
      <w:r w:rsidR="00CD3EA4" w:rsidRPr="001C5C41">
        <w:rPr>
          <w:rFonts w:cs="Times New Roman"/>
          <w:color w:val="000000" w:themeColor="text1"/>
        </w:rPr>
        <w:t xml:space="preserve"> </w:t>
      </w:r>
      <w:r w:rsidRPr="001C5C41">
        <w:rPr>
          <w:rFonts w:cs="Times New Roman"/>
          <w:color w:val="000000" w:themeColor="text1"/>
        </w:rPr>
        <w:t>while core endurance deficits impair force transfer from the lower to upper kinetic chain, directly constraining smash velocity and shot precision (Fernandez-Fernandez et al., 2017; Kibler et al., 2019).</w:t>
      </w:r>
    </w:p>
    <w:p w14:paraId="08C6DEC2" w14:textId="77777777" w:rsidR="00BB4CF6" w:rsidRDefault="00000000" w:rsidP="00AF34E3">
      <w:pPr>
        <w:snapToGrid w:val="0"/>
        <w:ind w:firstLine="720"/>
        <w:jc w:val="thaiDistribute"/>
        <w:rPr>
          <w:rFonts w:cs="Times New Roman"/>
          <w:color w:val="000000" w:themeColor="text1"/>
          <w:lang w:eastAsia="zh-CN"/>
        </w:rPr>
      </w:pPr>
      <w:r w:rsidRPr="001C5C41">
        <w:rPr>
          <w:rFonts w:cs="Times New Roman"/>
          <w:color w:val="000000" w:themeColor="text1"/>
        </w:rPr>
        <w:t>Despite growing consensus that integrated physical conditioning is indispensable for technical skill expression, no published study has designed and empirically tested a sport-specific programme that simultaneously addresses aerobic capacity, core stability, and movement fluency in Chinese amateur badminton players. Existing interventions typically target one physical quality in isolation, or are conducted with elite populations whose physiological profiles and training histories differ substantially from club-level participants. This study was therefore designed to fill that gap through a three-phase mixed-methods investigation: situational analysis, expert-informed programme development, and a 12-week randomised trial at Taizhou Badminton Club.</w:t>
      </w:r>
    </w:p>
    <w:p w14:paraId="1D4D9788" w14:textId="77777777" w:rsidR="00AF34E3" w:rsidRPr="001C5C41" w:rsidRDefault="00AF34E3" w:rsidP="00AF34E3">
      <w:pPr>
        <w:snapToGrid w:val="0"/>
        <w:ind w:firstLine="720"/>
        <w:jc w:val="thaiDistribute"/>
        <w:rPr>
          <w:rFonts w:cs="Times New Roman" w:hint="eastAsia"/>
          <w:color w:val="000000" w:themeColor="text1"/>
          <w:lang w:eastAsia="zh-CN"/>
        </w:rPr>
      </w:pPr>
    </w:p>
    <w:p w14:paraId="505C6967" w14:textId="77777777" w:rsidR="00BB4CF6" w:rsidRPr="00D96CFB" w:rsidRDefault="00000000" w:rsidP="00AF34E3">
      <w:pPr>
        <w:snapToGrid w:val="0"/>
        <w:jc w:val="thaiDistribute"/>
        <w:rPr>
          <w:rFonts w:cs="Times New Roman"/>
          <w:color w:val="000000" w:themeColor="text1"/>
          <w:sz w:val="28"/>
          <w:szCs w:val="28"/>
        </w:rPr>
      </w:pPr>
      <w:r w:rsidRPr="00D96CFB">
        <w:rPr>
          <w:rFonts w:cs="Times New Roman"/>
          <w:b/>
          <w:bCs/>
          <w:color w:val="000000" w:themeColor="text1"/>
          <w:sz w:val="28"/>
          <w:szCs w:val="28"/>
        </w:rPr>
        <w:t>Research Objectives</w:t>
      </w:r>
    </w:p>
    <w:p w14:paraId="044485B7" w14:textId="77777777"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1. To investigate the current physical fitness status, training practices, and movement challenges of amateur adult badminton players at Taizhou Badminton Club.</w:t>
      </w:r>
    </w:p>
    <w:p w14:paraId="53CA632B" w14:textId="77777777"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2. To design and validate a badminton-specific physical fitness programme targeting aerobic capacity, core strength, and movement fluency.</w:t>
      </w:r>
    </w:p>
    <w:p w14:paraId="164B5079" w14:textId="77777777"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3. To implement the programme and evaluate its effects on the three dependent variables across a 12-week intervention.</w:t>
      </w:r>
    </w:p>
    <w:p w14:paraId="52EEEE92" w14:textId="77777777" w:rsidR="00AF34E3" w:rsidRDefault="00AF34E3" w:rsidP="00AF34E3">
      <w:pPr>
        <w:snapToGrid w:val="0"/>
        <w:jc w:val="thaiDistribute"/>
        <w:rPr>
          <w:rFonts w:cs="Times New Roman"/>
          <w:b/>
          <w:bCs/>
          <w:color w:val="000000" w:themeColor="text1"/>
          <w:lang w:eastAsia="zh-CN"/>
        </w:rPr>
      </w:pPr>
    </w:p>
    <w:p w14:paraId="625B025A" w14:textId="44BAF251" w:rsidR="00BB4CF6" w:rsidRPr="00AF34E3" w:rsidRDefault="00000000" w:rsidP="00AF34E3">
      <w:pPr>
        <w:snapToGrid w:val="0"/>
        <w:jc w:val="thaiDistribute"/>
        <w:rPr>
          <w:rFonts w:cs="Times New Roman"/>
          <w:color w:val="000000" w:themeColor="text1"/>
          <w:sz w:val="28"/>
          <w:szCs w:val="28"/>
        </w:rPr>
      </w:pPr>
      <w:r w:rsidRPr="00AF34E3">
        <w:rPr>
          <w:rFonts w:cs="Times New Roman"/>
          <w:b/>
          <w:bCs/>
          <w:color w:val="000000" w:themeColor="text1"/>
          <w:sz w:val="28"/>
          <w:szCs w:val="28"/>
        </w:rPr>
        <w:t>Research Hypotheses</w:t>
      </w:r>
    </w:p>
    <w:p w14:paraId="58763313" w14:textId="44C6E71F" w:rsidR="00BB4CF6" w:rsidRPr="001C5C41" w:rsidRDefault="00AF34E3" w:rsidP="00AF34E3">
      <w:pPr>
        <w:tabs>
          <w:tab w:val="left" w:pos="1134"/>
        </w:tabs>
        <w:snapToGrid w:val="0"/>
        <w:ind w:firstLine="720"/>
        <w:jc w:val="thaiDistribute"/>
        <w:rPr>
          <w:rFonts w:cs="Times New Roman"/>
          <w:color w:val="000000" w:themeColor="text1"/>
        </w:rPr>
      </w:pPr>
      <w:r>
        <w:rPr>
          <w:rFonts w:cs="Times New Roman" w:hint="eastAsia"/>
          <w:color w:val="000000" w:themeColor="text1"/>
          <w:lang w:eastAsia="zh-CN"/>
        </w:rPr>
        <w:t>1.</w:t>
      </w:r>
      <w:r w:rsidR="00000000" w:rsidRPr="001C5C41">
        <w:rPr>
          <w:rFonts w:cs="Times New Roman"/>
          <w:color w:val="000000" w:themeColor="text1"/>
        </w:rPr>
        <w:t xml:space="preserve"> The experimental group will demonstrate significantly greater improvements in aerobic capacity, core strength, and movement fluency than the control group at post-test (*p &lt; .05).</w:t>
      </w:r>
    </w:p>
    <w:p w14:paraId="49924DD2" w14:textId="55A9F9B4" w:rsidR="00BB4CF6" w:rsidRPr="001C5C41" w:rsidRDefault="00AF34E3" w:rsidP="00AF34E3">
      <w:pPr>
        <w:tabs>
          <w:tab w:val="left" w:pos="1134"/>
        </w:tabs>
        <w:snapToGrid w:val="0"/>
        <w:ind w:firstLine="720"/>
        <w:jc w:val="thaiDistribute"/>
        <w:rPr>
          <w:rFonts w:cs="Times New Roman"/>
          <w:color w:val="000000" w:themeColor="text1"/>
        </w:rPr>
      </w:pPr>
      <w:r>
        <w:rPr>
          <w:rFonts w:cs="Times New Roman" w:hint="eastAsia"/>
          <w:color w:val="000000" w:themeColor="text1"/>
          <w:lang w:eastAsia="zh-CN"/>
        </w:rPr>
        <w:t>2.</w:t>
      </w:r>
      <w:r w:rsidR="00000000" w:rsidRPr="001C5C41">
        <w:rPr>
          <w:rFonts w:cs="Times New Roman"/>
          <w:color w:val="000000" w:themeColor="text1"/>
        </w:rPr>
        <w:t xml:space="preserve"> </w:t>
      </w:r>
      <w:r>
        <w:rPr>
          <w:rFonts w:cs="Times New Roman" w:hint="eastAsia"/>
          <w:color w:val="000000" w:themeColor="text1"/>
          <w:lang w:eastAsia="zh-CN"/>
        </w:rPr>
        <w:t xml:space="preserve"> </w:t>
      </w:r>
      <w:r w:rsidR="00000000" w:rsidRPr="001C5C41">
        <w:rPr>
          <w:rFonts w:cs="Times New Roman"/>
          <w:color w:val="000000" w:themeColor="text1"/>
        </w:rPr>
        <w:t>The experimental group will exhibit progressive and significant improvements across pre-test, mid-test, and post-test intervals (*p &lt; .05).</w:t>
      </w:r>
    </w:p>
    <w:p w14:paraId="78F8F1F0" w14:textId="77777777" w:rsidR="00AF34E3" w:rsidRDefault="00AF34E3" w:rsidP="00AF34E3">
      <w:pPr>
        <w:tabs>
          <w:tab w:val="left" w:pos="1134"/>
        </w:tabs>
        <w:spacing w:before="220"/>
        <w:jc w:val="thaiDistribute"/>
        <w:rPr>
          <w:rFonts w:cs="Times New Roman"/>
          <w:b/>
          <w:bCs/>
          <w:color w:val="000000" w:themeColor="text1"/>
          <w:sz w:val="28"/>
          <w:szCs w:val="28"/>
          <w:lang w:eastAsia="zh-CN"/>
        </w:rPr>
      </w:pPr>
    </w:p>
    <w:p w14:paraId="0CC05D0A" w14:textId="7AE9DE0F" w:rsidR="00BB4CF6" w:rsidRPr="00AF34E3" w:rsidRDefault="00000000" w:rsidP="00AF34E3">
      <w:pPr>
        <w:snapToGrid w:val="0"/>
        <w:jc w:val="thaiDistribute"/>
        <w:rPr>
          <w:rFonts w:cs="Times New Roman"/>
          <w:color w:val="000000" w:themeColor="text1"/>
          <w:sz w:val="28"/>
          <w:szCs w:val="28"/>
        </w:rPr>
      </w:pPr>
      <w:r w:rsidRPr="00AF34E3">
        <w:rPr>
          <w:rFonts w:cs="Times New Roman"/>
          <w:b/>
          <w:bCs/>
          <w:color w:val="000000" w:themeColor="text1"/>
          <w:sz w:val="28"/>
          <w:szCs w:val="28"/>
        </w:rPr>
        <w:t>Research Methodology</w:t>
      </w:r>
    </w:p>
    <w:p w14:paraId="4ABE03C0" w14:textId="77777777" w:rsidR="00BB4CF6" w:rsidRPr="001C5C41" w:rsidRDefault="00000000" w:rsidP="00AF34E3">
      <w:pPr>
        <w:snapToGrid w:val="0"/>
        <w:ind w:firstLine="567"/>
        <w:jc w:val="thaiDistribute"/>
        <w:rPr>
          <w:rFonts w:cs="Times New Roman"/>
          <w:color w:val="000000" w:themeColor="text1"/>
        </w:rPr>
      </w:pPr>
      <w:r w:rsidRPr="001C5C41">
        <w:rPr>
          <w:rFonts w:cs="Times New Roman"/>
          <w:b/>
          <w:bCs/>
          <w:color w:val="000000" w:themeColor="text1"/>
        </w:rPr>
        <w:t>Research Design</w:t>
      </w:r>
    </w:p>
    <w:p w14:paraId="76A2C2A6" w14:textId="38881693" w:rsidR="00BB4CF6" w:rsidRPr="001C5C41" w:rsidRDefault="00000000" w:rsidP="00AF34E3">
      <w:pPr>
        <w:snapToGrid w:val="0"/>
        <w:ind w:firstLine="567"/>
        <w:jc w:val="thaiDistribute"/>
        <w:rPr>
          <w:rFonts w:cs="Times New Roman"/>
          <w:color w:val="000000" w:themeColor="text1"/>
        </w:rPr>
      </w:pPr>
      <w:r w:rsidRPr="001C5C41">
        <w:rPr>
          <w:rFonts w:cs="Times New Roman"/>
          <w:color w:val="000000" w:themeColor="text1"/>
        </w:rPr>
        <w:t>This study employed a three-phase mixed-methods design. Phase 1 was a descriptive survey to examine the training status and physical fitness needs of players and coaches. Phase 2 used qualitative expert consultation</w:t>
      </w:r>
      <w:r w:rsidR="00CD3EA4" w:rsidRPr="001C5C41">
        <w:rPr>
          <w:rFonts w:cs="Times New Roman"/>
          <w:color w:val="000000" w:themeColor="text1"/>
        </w:rPr>
        <w:t xml:space="preserve"> </w:t>
      </w:r>
      <w:r w:rsidRPr="001C5C41">
        <w:rPr>
          <w:rFonts w:cs="Times New Roman"/>
          <w:color w:val="000000" w:themeColor="text1"/>
        </w:rPr>
        <w:t>individual interviews followed by focus group discussions</w:t>
      </w:r>
      <w:r w:rsidR="00CD3EA4" w:rsidRPr="001C5C41">
        <w:rPr>
          <w:rFonts w:cs="Times New Roman"/>
          <w:color w:val="000000" w:themeColor="text1"/>
        </w:rPr>
        <w:t xml:space="preserve"> </w:t>
      </w:r>
      <w:r w:rsidRPr="001C5C41">
        <w:rPr>
          <w:rFonts w:cs="Times New Roman"/>
          <w:color w:val="000000" w:themeColor="text1"/>
        </w:rPr>
        <w:t xml:space="preserve">to </w:t>
      </w:r>
      <w:r w:rsidRPr="001C5C41">
        <w:rPr>
          <w:rFonts w:cs="Times New Roman"/>
          <w:color w:val="000000" w:themeColor="text1"/>
        </w:rPr>
        <w:lastRenderedPageBreak/>
        <w:t>construct and validate the training programme. Phase 3 was a quasi-experimental pretest–midtest–posttest control group trial to evaluate programme efficacy. Ethical approval was granted by the Committee for Research Ethics in Human Subjects (Social Sciences Branch), Bangkokthonburi University (Certificate No. 2568/359(4); approved 20 October 2025). All participants provided written informed consent prior to enrolment.</w:t>
      </w:r>
    </w:p>
    <w:p w14:paraId="5D125BB4" w14:textId="77777777" w:rsidR="00BB4CF6" w:rsidRPr="001C5C41" w:rsidRDefault="00000000" w:rsidP="00AF34E3">
      <w:pPr>
        <w:snapToGrid w:val="0"/>
        <w:ind w:firstLine="567"/>
        <w:jc w:val="thaiDistribute"/>
        <w:rPr>
          <w:rFonts w:cs="Times New Roman"/>
          <w:color w:val="000000" w:themeColor="text1"/>
        </w:rPr>
      </w:pPr>
      <w:r w:rsidRPr="001C5C41">
        <w:rPr>
          <w:rFonts w:cs="Times New Roman"/>
          <w:b/>
          <w:bCs/>
          <w:color w:val="000000" w:themeColor="text1"/>
        </w:rPr>
        <w:t>Participants and Sampling</w:t>
      </w:r>
    </w:p>
    <w:p w14:paraId="2454FCE8" w14:textId="77777777" w:rsidR="00BB4CF6" w:rsidRPr="001C5C41" w:rsidRDefault="00000000" w:rsidP="00AF34E3">
      <w:pPr>
        <w:snapToGrid w:val="0"/>
        <w:ind w:firstLine="567"/>
        <w:jc w:val="thaiDistribute"/>
        <w:rPr>
          <w:rFonts w:cs="Times New Roman"/>
          <w:color w:val="000000" w:themeColor="text1"/>
        </w:rPr>
      </w:pPr>
      <w:r w:rsidRPr="001C5C41">
        <w:rPr>
          <w:rFonts w:cs="Times New Roman"/>
          <w:color w:val="000000" w:themeColor="text1"/>
        </w:rPr>
        <w:t>The Phase 1 survey engaged 186 registered players and 7 coaches from Taizhou Badminton Club. For the Phase 3 trial, all 186 players completed baseline testing; the middle 50 performers (ranked 69th–118th based on composite scores) were selected to obtain a homogeneous intermediate-level sample and then systematically allocated into an experimental group (n = 25) and a control group (n = 25). Sample size was determined by G*Power a priori analysis (effect size f = 0.25, α = .05, power = 0.80), indicating a minimum of 44 participants. Inclusion criteria required 6–24 months of badminton experience, regular participation at least twice weekly, aerobic capacity between 35–50 mL·kg⁻¹·min⁻¹, plank endurance between 30–100 seconds, and Badcamp Agility Test completion time between 20–35 seconds. Players with injury history in the preceding six months, elite competitive experience, or relevant medical contraindications were excluded.</w:t>
      </w:r>
    </w:p>
    <w:p w14:paraId="6B771510" w14:textId="77777777" w:rsidR="00BB4CF6" w:rsidRPr="001C5C41" w:rsidRDefault="00000000" w:rsidP="00AF34E3">
      <w:pPr>
        <w:snapToGrid w:val="0"/>
        <w:ind w:firstLine="567"/>
        <w:jc w:val="thaiDistribute"/>
        <w:rPr>
          <w:rFonts w:cs="Times New Roman"/>
          <w:color w:val="000000" w:themeColor="text1"/>
        </w:rPr>
      </w:pPr>
      <w:r w:rsidRPr="001C5C41">
        <w:rPr>
          <w:rFonts w:cs="Times New Roman"/>
          <w:b/>
          <w:bCs/>
          <w:color w:val="000000" w:themeColor="text1"/>
        </w:rPr>
        <w:t>Programme Development</w:t>
      </w:r>
    </w:p>
    <w:p w14:paraId="526FFD46" w14:textId="77777777" w:rsidR="00BB4CF6" w:rsidRDefault="00000000" w:rsidP="00AF34E3">
      <w:pPr>
        <w:snapToGrid w:val="0"/>
        <w:ind w:firstLine="567"/>
        <w:jc w:val="thaiDistribute"/>
        <w:rPr>
          <w:rFonts w:cs="Times New Roman"/>
          <w:color w:val="000000" w:themeColor="text1"/>
          <w:lang w:eastAsia="zh-CN"/>
        </w:rPr>
      </w:pPr>
      <w:r w:rsidRPr="001C5C41">
        <w:rPr>
          <w:rFonts w:cs="Times New Roman"/>
          <w:color w:val="000000" w:themeColor="text1"/>
        </w:rPr>
        <w:t>Nine subject-matter experts (five badminton coaches, three physical education specialists, one exercise physiologist; all ≥11 years experience) participated in semi-structured interviews to identify key training priorities. A subsequent focus group involving nine experts ratified and refined the programme structure. The resulting 12-week programme (four 90-minute sessions per week) was organised into three progressive phases (Table 2). Content validity was assessed via the Index of Item-Objective Congruence (IOC), achieving IOC = 0.90 across all programme components. Following expert endorsement, a pilot study with 30 non-sample players confirmed instrument reliability (Cronbach’s α = 0.87).</w:t>
      </w:r>
    </w:p>
    <w:p w14:paraId="3EF41662" w14:textId="77777777" w:rsidR="00AF34E3" w:rsidRPr="001C5C41" w:rsidRDefault="00AF34E3" w:rsidP="00AF34E3">
      <w:pPr>
        <w:snapToGrid w:val="0"/>
        <w:ind w:firstLine="567"/>
        <w:jc w:val="thaiDistribute"/>
        <w:rPr>
          <w:rFonts w:cs="Times New Roman" w:hint="eastAsia"/>
          <w:color w:val="000000" w:themeColor="text1"/>
          <w:lang w:eastAsia="zh-CN"/>
        </w:rPr>
      </w:pPr>
    </w:p>
    <w:p w14:paraId="15351D1A" w14:textId="0EA5CD7B" w:rsidR="00BB4CF6" w:rsidRPr="001C5C41" w:rsidRDefault="00000000" w:rsidP="00AF34E3">
      <w:pPr>
        <w:snapToGrid w:val="0"/>
        <w:jc w:val="thaiDistribute"/>
        <w:rPr>
          <w:rFonts w:cs="Times New Roman"/>
          <w:color w:val="000000" w:themeColor="text1"/>
        </w:rPr>
      </w:pPr>
      <w:r w:rsidRPr="001C5C41">
        <w:rPr>
          <w:rFonts w:cs="Times New Roman"/>
          <w:b/>
          <w:bCs/>
          <w:color w:val="000000" w:themeColor="text1"/>
        </w:rPr>
        <w:t xml:space="preserve">Table </w:t>
      </w:r>
      <w:r w:rsidR="00CD3EA4" w:rsidRPr="001C5C41">
        <w:rPr>
          <w:rFonts w:cs="Times New Roman"/>
          <w:b/>
          <w:bCs/>
          <w:color w:val="000000" w:themeColor="text1"/>
        </w:rPr>
        <w:t>1</w:t>
      </w:r>
      <w:r w:rsidRPr="001C5C41">
        <w:rPr>
          <w:rFonts w:cs="Times New Roman"/>
          <w:b/>
          <w:bCs/>
          <w:color w:val="000000" w:themeColor="text1"/>
        </w:rPr>
        <w:t>. Phase Structure of the Badminton-Specific Physical Fitness Programme</w:t>
      </w:r>
    </w:p>
    <w:tbl>
      <w:tblPr>
        <w:tblStyle w:val="TableGrid"/>
        <w:tblW w:w="9026" w:type="dxa"/>
        <w:tblLook w:val="0000" w:firstRow="0" w:lastRow="0" w:firstColumn="0" w:lastColumn="0" w:noHBand="0" w:noVBand="0"/>
      </w:tblPr>
      <w:tblGrid>
        <w:gridCol w:w="1509"/>
        <w:gridCol w:w="1150"/>
        <w:gridCol w:w="3715"/>
        <w:gridCol w:w="2652"/>
      </w:tblGrid>
      <w:tr w:rsidR="001C5C41" w:rsidRPr="001C5C41" w14:paraId="3269ECE3" w14:textId="77777777" w:rsidTr="00AF34E3">
        <w:tc>
          <w:tcPr>
            <w:tcW w:w="1509" w:type="dxa"/>
          </w:tcPr>
          <w:p w14:paraId="31AA2E36" w14:textId="77777777" w:rsidR="00BB4CF6" w:rsidRPr="001C5C41" w:rsidRDefault="00000000" w:rsidP="00AF34E3">
            <w:pPr>
              <w:snapToGrid w:val="0"/>
              <w:jc w:val="thaiDistribute"/>
              <w:rPr>
                <w:rFonts w:cs="Times New Roman"/>
                <w:color w:val="000000" w:themeColor="text1"/>
              </w:rPr>
            </w:pPr>
            <w:r w:rsidRPr="001C5C41">
              <w:rPr>
                <w:rFonts w:cs="Times New Roman"/>
                <w:b/>
                <w:bCs/>
                <w:color w:val="000000" w:themeColor="text1"/>
              </w:rPr>
              <w:t>Phase</w:t>
            </w:r>
          </w:p>
        </w:tc>
        <w:tc>
          <w:tcPr>
            <w:tcW w:w="1150" w:type="dxa"/>
          </w:tcPr>
          <w:p w14:paraId="68BB9732" w14:textId="77777777" w:rsidR="00BB4CF6" w:rsidRPr="001C5C41" w:rsidRDefault="00000000" w:rsidP="00AF34E3">
            <w:pPr>
              <w:snapToGrid w:val="0"/>
              <w:jc w:val="thaiDistribute"/>
              <w:rPr>
                <w:rFonts w:cs="Times New Roman"/>
                <w:color w:val="000000" w:themeColor="text1"/>
              </w:rPr>
            </w:pPr>
            <w:r w:rsidRPr="001C5C41">
              <w:rPr>
                <w:rFonts w:cs="Times New Roman"/>
                <w:b/>
                <w:bCs/>
                <w:color w:val="000000" w:themeColor="text1"/>
              </w:rPr>
              <w:t>Duration</w:t>
            </w:r>
          </w:p>
        </w:tc>
        <w:tc>
          <w:tcPr>
            <w:tcW w:w="3715" w:type="dxa"/>
          </w:tcPr>
          <w:p w14:paraId="7FA4413C" w14:textId="77777777" w:rsidR="00BB4CF6" w:rsidRPr="001C5C41" w:rsidRDefault="00000000" w:rsidP="00AF34E3">
            <w:pPr>
              <w:snapToGrid w:val="0"/>
              <w:jc w:val="thaiDistribute"/>
              <w:rPr>
                <w:rFonts w:cs="Times New Roman"/>
                <w:color w:val="000000" w:themeColor="text1"/>
              </w:rPr>
            </w:pPr>
            <w:r w:rsidRPr="001C5C41">
              <w:rPr>
                <w:rFonts w:cs="Times New Roman"/>
                <w:b/>
                <w:bCs/>
                <w:color w:val="000000" w:themeColor="text1"/>
              </w:rPr>
              <w:t>Training Content</w:t>
            </w:r>
          </w:p>
        </w:tc>
        <w:tc>
          <w:tcPr>
            <w:tcW w:w="2652" w:type="dxa"/>
          </w:tcPr>
          <w:p w14:paraId="5B67A676" w14:textId="77777777" w:rsidR="00BB4CF6" w:rsidRPr="001C5C41" w:rsidRDefault="00000000" w:rsidP="00AF34E3">
            <w:pPr>
              <w:snapToGrid w:val="0"/>
              <w:jc w:val="thaiDistribute"/>
              <w:rPr>
                <w:rFonts w:cs="Times New Roman"/>
                <w:color w:val="000000" w:themeColor="text1"/>
              </w:rPr>
            </w:pPr>
            <w:r w:rsidRPr="001C5C41">
              <w:rPr>
                <w:rFonts w:cs="Times New Roman"/>
                <w:b/>
                <w:bCs/>
                <w:color w:val="000000" w:themeColor="text1"/>
              </w:rPr>
              <w:t>Targeted Components</w:t>
            </w:r>
          </w:p>
        </w:tc>
      </w:tr>
      <w:tr w:rsidR="001C5C41" w:rsidRPr="001C5C41" w14:paraId="5D4802E0" w14:textId="77777777" w:rsidTr="00AF34E3">
        <w:tc>
          <w:tcPr>
            <w:tcW w:w="1509" w:type="dxa"/>
          </w:tcPr>
          <w:p w14:paraId="24B18926" w14:textId="77777777" w:rsidR="00BB4CF6" w:rsidRPr="00AF34E3" w:rsidRDefault="00000000" w:rsidP="00AF34E3">
            <w:pPr>
              <w:snapToGrid w:val="0"/>
              <w:jc w:val="thaiDistribute"/>
              <w:rPr>
                <w:rFonts w:cs="Times New Roman"/>
                <w:color w:val="000000" w:themeColor="text1"/>
              </w:rPr>
            </w:pPr>
            <w:r w:rsidRPr="00AF34E3">
              <w:rPr>
                <w:rFonts w:cs="Times New Roman"/>
                <w:color w:val="000000" w:themeColor="text1"/>
              </w:rPr>
              <w:t>Phase 1: Foundation Building</w:t>
            </w:r>
          </w:p>
        </w:tc>
        <w:tc>
          <w:tcPr>
            <w:tcW w:w="1150" w:type="dxa"/>
          </w:tcPr>
          <w:p w14:paraId="49E731A0"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Weeks 1–4</w:t>
            </w:r>
          </w:p>
        </w:tc>
        <w:tc>
          <w:tcPr>
            <w:tcW w:w="3715" w:type="dxa"/>
          </w:tcPr>
          <w:p w14:paraId="45679127" w14:textId="77777777" w:rsidR="00BB4CF6" w:rsidRPr="001C5C41" w:rsidRDefault="00000000" w:rsidP="00AF34E3">
            <w:pPr>
              <w:snapToGrid w:val="0"/>
              <w:rPr>
                <w:rFonts w:cs="Times New Roman"/>
                <w:color w:val="000000" w:themeColor="text1"/>
              </w:rPr>
            </w:pPr>
            <w:r w:rsidRPr="001C5C41">
              <w:rPr>
                <w:rFonts w:cs="Times New Roman"/>
                <w:color w:val="000000" w:themeColor="text1"/>
              </w:rPr>
              <w:t>Establish aerobic baseline; correct foundational movement patterns; introduce sport-specific conditioning. Basic HIIT (30 s multi-shuttle), core activation (front/side plank), fundamental 6-corner footwork.</w:t>
            </w:r>
          </w:p>
        </w:tc>
        <w:tc>
          <w:tcPr>
            <w:tcW w:w="2652" w:type="dxa"/>
          </w:tcPr>
          <w:p w14:paraId="313870B1" w14:textId="77777777" w:rsidR="00BB4CF6" w:rsidRPr="001C5C41" w:rsidRDefault="00000000" w:rsidP="00AF34E3">
            <w:pPr>
              <w:snapToGrid w:val="0"/>
              <w:rPr>
                <w:rFonts w:cs="Times New Roman"/>
                <w:color w:val="000000" w:themeColor="text1"/>
              </w:rPr>
            </w:pPr>
            <w:r w:rsidRPr="001C5C41">
              <w:rPr>
                <w:rFonts w:cs="Times New Roman"/>
                <w:color w:val="000000" w:themeColor="text1"/>
              </w:rPr>
              <w:t>HRPF: Cardiorespiratory base Core: Endurance activation Agility: Basic court coverage</w:t>
            </w:r>
          </w:p>
        </w:tc>
      </w:tr>
      <w:tr w:rsidR="001C5C41" w:rsidRPr="001C5C41" w14:paraId="32B113E5" w14:textId="77777777" w:rsidTr="00AF34E3">
        <w:tc>
          <w:tcPr>
            <w:tcW w:w="1509" w:type="dxa"/>
          </w:tcPr>
          <w:p w14:paraId="2EA33DA4" w14:textId="77777777" w:rsidR="00BB4CF6" w:rsidRPr="00AF34E3" w:rsidRDefault="00000000" w:rsidP="00AF34E3">
            <w:pPr>
              <w:snapToGrid w:val="0"/>
              <w:jc w:val="thaiDistribute"/>
              <w:rPr>
                <w:rFonts w:cs="Times New Roman"/>
                <w:color w:val="000000" w:themeColor="text1"/>
              </w:rPr>
            </w:pPr>
            <w:r w:rsidRPr="00AF34E3">
              <w:rPr>
                <w:rFonts w:cs="Times New Roman"/>
                <w:color w:val="000000" w:themeColor="text1"/>
              </w:rPr>
              <w:t>Phase 2: Development</w:t>
            </w:r>
          </w:p>
        </w:tc>
        <w:tc>
          <w:tcPr>
            <w:tcW w:w="1150" w:type="dxa"/>
          </w:tcPr>
          <w:p w14:paraId="4780967E"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Weeks 5–8</w:t>
            </w:r>
          </w:p>
        </w:tc>
        <w:tc>
          <w:tcPr>
            <w:tcW w:w="3715" w:type="dxa"/>
          </w:tcPr>
          <w:p w14:paraId="2B1A386A" w14:textId="77777777" w:rsidR="00BB4CF6" w:rsidRPr="001C5C41" w:rsidRDefault="00000000" w:rsidP="00AF34E3">
            <w:pPr>
              <w:snapToGrid w:val="0"/>
              <w:rPr>
                <w:rFonts w:cs="Times New Roman"/>
                <w:color w:val="000000" w:themeColor="text1"/>
              </w:rPr>
            </w:pPr>
            <w:r w:rsidRPr="001C5C41">
              <w:rPr>
                <w:rFonts w:cs="Times New Roman"/>
                <w:color w:val="000000" w:themeColor="text1"/>
              </w:rPr>
              <w:t>Increase training load; enhance sport-specific integration; develop fatigue resistance. Extended HIIT intervals, dynamic rotational core work (medicine ball throws, Pallof press), reactive agility with stroke execution under induced fatigue.</w:t>
            </w:r>
          </w:p>
        </w:tc>
        <w:tc>
          <w:tcPr>
            <w:tcW w:w="2652" w:type="dxa"/>
          </w:tcPr>
          <w:p w14:paraId="27F30FC7" w14:textId="77777777" w:rsidR="00BB4CF6" w:rsidRPr="001C5C41" w:rsidRDefault="00000000" w:rsidP="00AF34E3">
            <w:pPr>
              <w:snapToGrid w:val="0"/>
              <w:rPr>
                <w:rFonts w:cs="Times New Roman"/>
                <w:color w:val="000000" w:themeColor="text1"/>
              </w:rPr>
            </w:pPr>
            <w:r w:rsidRPr="001C5C41">
              <w:rPr>
                <w:rFonts w:cs="Times New Roman"/>
                <w:color w:val="000000" w:themeColor="text1"/>
              </w:rPr>
              <w:t>HRPF: Extended aerobic load Core: Rotational power transfer Agility: Reactive multi-directional</w:t>
            </w:r>
          </w:p>
        </w:tc>
      </w:tr>
      <w:tr w:rsidR="001C5C41" w:rsidRPr="001C5C41" w14:paraId="3D638B84" w14:textId="77777777" w:rsidTr="00AF34E3">
        <w:tc>
          <w:tcPr>
            <w:tcW w:w="1509" w:type="dxa"/>
          </w:tcPr>
          <w:p w14:paraId="4E55006C" w14:textId="77777777" w:rsidR="00BB4CF6" w:rsidRPr="00AF34E3" w:rsidRDefault="00000000" w:rsidP="00AF34E3">
            <w:pPr>
              <w:snapToGrid w:val="0"/>
              <w:jc w:val="thaiDistribute"/>
              <w:rPr>
                <w:rFonts w:cs="Times New Roman"/>
                <w:color w:val="000000" w:themeColor="text1"/>
              </w:rPr>
            </w:pPr>
            <w:r w:rsidRPr="00AF34E3">
              <w:rPr>
                <w:rFonts w:cs="Times New Roman"/>
                <w:color w:val="000000" w:themeColor="text1"/>
              </w:rPr>
              <w:t>Phase 3: Performance Optimisation</w:t>
            </w:r>
          </w:p>
        </w:tc>
        <w:tc>
          <w:tcPr>
            <w:tcW w:w="1150" w:type="dxa"/>
          </w:tcPr>
          <w:p w14:paraId="2DFE0CF9"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Weeks 9–12</w:t>
            </w:r>
          </w:p>
        </w:tc>
        <w:tc>
          <w:tcPr>
            <w:tcW w:w="3715" w:type="dxa"/>
          </w:tcPr>
          <w:p w14:paraId="064468DA" w14:textId="77777777" w:rsidR="00BB4CF6" w:rsidRPr="001C5C41" w:rsidRDefault="00000000" w:rsidP="00AF34E3">
            <w:pPr>
              <w:snapToGrid w:val="0"/>
              <w:rPr>
                <w:rFonts w:cs="Times New Roman"/>
                <w:color w:val="000000" w:themeColor="text1"/>
              </w:rPr>
            </w:pPr>
            <w:r w:rsidRPr="001C5C41">
              <w:rPr>
                <w:rFonts w:cs="Times New Roman"/>
                <w:color w:val="000000" w:themeColor="text1"/>
              </w:rPr>
              <w:t>Maximise sport-specific fitness; refine technical execution under fatigue; near-match demands. Tournament simulation, complex integration drills, LED 6-corner reactive sequences, tapering in week 12.</w:t>
            </w:r>
          </w:p>
        </w:tc>
        <w:tc>
          <w:tcPr>
            <w:tcW w:w="2652" w:type="dxa"/>
          </w:tcPr>
          <w:p w14:paraId="0977361C" w14:textId="77777777" w:rsidR="00BB4CF6" w:rsidRPr="001C5C41" w:rsidRDefault="00000000" w:rsidP="00AF34E3">
            <w:pPr>
              <w:snapToGrid w:val="0"/>
              <w:rPr>
                <w:rFonts w:cs="Times New Roman"/>
                <w:color w:val="000000" w:themeColor="text1"/>
              </w:rPr>
            </w:pPr>
            <w:r w:rsidRPr="001C5C41">
              <w:rPr>
                <w:rFonts w:cs="Times New Roman"/>
                <w:color w:val="000000" w:themeColor="text1"/>
              </w:rPr>
              <w:t>HRPF: Near-match intensity Core: Power under fatigue Agility: Match-simulation fluency</w:t>
            </w:r>
          </w:p>
        </w:tc>
      </w:tr>
    </w:tbl>
    <w:p w14:paraId="32E3E6BB" w14:textId="06266411" w:rsidR="00BB4CF6" w:rsidRPr="00AF34E3" w:rsidRDefault="00000000" w:rsidP="00AF34E3">
      <w:pPr>
        <w:snapToGrid w:val="0"/>
        <w:jc w:val="thaiDistribute"/>
        <w:rPr>
          <w:rFonts w:cs="Times New Roman" w:hint="eastAsia"/>
          <w:color w:val="000000" w:themeColor="text1"/>
          <w:sz w:val="21"/>
          <w:szCs w:val="21"/>
          <w:lang w:eastAsia="zh-CN"/>
        </w:rPr>
      </w:pPr>
      <w:r w:rsidRPr="00AF34E3">
        <w:rPr>
          <w:rFonts w:cs="Times New Roman"/>
          <w:color w:val="000000" w:themeColor="text1"/>
          <w:sz w:val="21"/>
          <w:szCs w:val="21"/>
        </w:rPr>
        <w:t>Note. HIIT = high-intensity interval training. Each session comprised 20 min warm-up, 60 min main training, and 10 min cool-down.</w:t>
      </w:r>
    </w:p>
    <w:p w14:paraId="6C176321" w14:textId="77777777" w:rsidR="00BB4CF6" w:rsidRPr="001C5C41" w:rsidRDefault="00000000" w:rsidP="00AF34E3">
      <w:pPr>
        <w:snapToGrid w:val="0"/>
        <w:ind w:firstLine="567"/>
        <w:jc w:val="thaiDistribute"/>
        <w:rPr>
          <w:rFonts w:cs="Times New Roman"/>
          <w:color w:val="000000" w:themeColor="text1"/>
        </w:rPr>
      </w:pPr>
      <w:r w:rsidRPr="001C5C41">
        <w:rPr>
          <w:rFonts w:cs="Times New Roman"/>
          <w:b/>
          <w:bCs/>
          <w:color w:val="000000" w:themeColor="text1"/>
        </w:rPr>
        <w:lastRenderedPageBreak/>
        <w:t>Measurement Instruments</w:t>
      </w:r>
    </w:p>
    <w:p w14:paraId="5842E8F7" w14:textId="77777777" w:rsidR="00BB4CF6" w:rsidRPr="001C5C41" w:rsidRDefault="00000000" w:rsidP="00AF34E3">
      <w:pPr>
        <w:snapToGrid w:val="0"/>
        <w:ind w:firstLine="567"/>
        <w:jc w:val="thaiDistribute"/>
        <w:rPr>
          <w:rFonts w:cs="Times New Roman"/>
          <w:color w:val="000000" w:themeColor="text1"/>
        </w:rPr>
      </w:pPr>
      <w:r w:rsidRPr="001C5C41">
        <w:rPr>
          <w:rFonts w:cs="Times New Roman"/>
          <w:color w:val="000000" w:themeColor="text1"/>
        </w:rPr>
        <w:t>Three validated field tests were administered at pre-test (Week 0), mid-test (Week 6), and post-test (Week 12). (1) Aerobic capacity: The 20-Metre Shuttle Run Test (Tomkinson et al., 2019) estimated VO₂max in mL·kg⁻¹·min⁻¹; test–retest reliability r = 0.93, construct validity r = 0.89. (2) Core strength: The Plank Test (McGill, 2016) recorded maximum isometric hold time in seconds; reliability r = 0.92, validity r = 0.85. (3) Movement fluency: The Badcamp Agility Test (Vaverka et al., 2016) captured total completion time in seconds across six-corner reactive sequences; reliability r = 0.91, validity r = 0.85. All tests were administered by trained assessors blinded to group allocation under standardised conditions.</w:t>
      </w:r>
    </w:p>
    <w:p w14:paraId="19F02EDD" w14:textId="77777777" w:rsidR="00BB4CF6" w:rsidRPr="001C5C41" w:rsidRDefault="00000000" w:rsidP="00AF34E3">
      <w:pPr>
        <w:snapToGrid w:val="0"/>
        <w:ind w:firstLine="567"/>
        <w:jc w:val="thaiDistribute"/>
        <w:rPr>
          <w:rFonts w:cs="Times New Roman"/>
          <w:color w:val="000000" w:themeColor="text1"/>
        </w:rPr>
      </w:pPr>
      <w:r w:rsidRPr="001C5C41">
        <w:rPr>
          <w:rFonts w:cs="Times New Roman"/>
          <w:b/>
          <w:bCs/>
          <w:color w:val="000000" w:themeColor="text1"/>
        </w:rPr>
        <w:t>Intervention Protocol</w:t>
      </w:r>
    </w:p>
    <w:p w14:paraId="2E4293AD" w14:textId="77777777" w:rsidR="00BB4CF6" w:rsidRPr="001C5C41" w:rsidRDefault="00000000" w:rsidP="00AF34E3">
      <w:pPr>
        <w:snapToGrid w:val="0"/>
        <w:ind w:firstLine="567"/>
        <w:jc w:val="thaiDistribute"/>
        <w:rPr>
          <w:rFonts w:cs="Times New Roman"/>
          <w:color w:val="000000" w:themeColor="text1"/>
        </w:rPr>
      </w:pPr>
      <w:r w:rsidRPr="001C5C41">
        <w:rPr>
          <w:rFonts w:cs="Times New Roman"/>
          <w:color w:val="000000" w:themeColor="text1"/>
        </w:rPr>
        <w:t>The experimental group followed the developed badminton-specific programme integrating sport-specific HIIT (30-second multi-shuttle drills with 1:1 work-to-rest ratios), functional core training (medicine ball rotational throws, Pallof press, stability ball variations), and reactive movement fluency drills (6-corner LED sequences, agility ladder patterns). The control group continued their habitual technical training regime comprising stroke repetition, footwork drills, and match-play practice without structured physical conditioning. Total weekly training time was equated between groups.</w:t>
      </w:r>
    </w:p>
    <w:p w14:paraId="4B2820F3" w14:textId="50CB0D66" w:rsidR="00BB4CF6" w:rsidRPr="001C5C41" w:rsidRDefault="00AF34E3" w:rsidP="00AF34E3">
      <w:pPr>
        <w:snapToGrid w:val="0"/>
        <w:ind w:firstLine="720"/>
        <w:jc w:val="thaiDistribute"/>
        <w:rPr>
          <w:rFonts w:cs="Times New Roman"/>
          <w:color w:val="000000" w:themeColor="text1"/>
        </w:rPr>
      </w:pPr>
      <w:r>
        <w:rPr>
          <w:rFonts w:cs="Times New Roman" w:hint="eastAsia"/>
          <w:b/>
          <w:bCs/>
          <w:color w:val="000000" w:themeColor="text1"/>
          <w:lang w:eastAsia="zh-CN"/>
        </w:rPr>
        <w:t>Data</w:t>
      </w:r>
      <w:r>
        <w:rPr>
          <w:rFonts w:cs="Times New Roman"/>
          <w:b/>
          <w:bCs/>
          <w:color w:val="000000" w:themeColor="text1"/>
          <w:lang w:val="en-US" w:eastAsia="zh-CN"/>
        </w:rPr>
        <w:t xml:space="preserve"> </w:t>
      </w:r>
      <w:r w:rsidR="00000000" w:rsidRPr="001C5C41">
        <w:rPr>
          <w:rFonts w:cs="Times New Roman"/>
          <w:b/>
          <w:bCs/>
          <w:color w:val="000000" w:themeColor="text1"/>
        </w:rPr>
        <w:t>Analysis</w:t>
      </w:r>
    </w:p>
    <w:p w14:paraId="5D84E098" w14:textId="77777777"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Descriptive statistics (M ± SD) were computed for all variables. The Shapiro–Wilk test confirmed normality; parametric procedures were applied throughout. Independent-samples t-tests established pre-test equivalence and post-test between-group differences. One-way repeated-measures ANOVA with Bonferroni post hoc comparisons examined longitudinal within-group trajectories. Statistical significance was set at α = .05.</w:t>
      </w:r>
    </w:p>
    <w:p w14:paraId="7B4CFBF9" w14:textId="77777777" w:rsidR="00AF34E3" w:rsidRDefault="00AF34E3" w:rsidP="00AF34E3">
      <w:pPr>
        <w:snapToGrid w:val="0"/>
        <w:jc w:val="thaiDistribute"/>
        <w:rPr>
          <w:rFonts w:cs="Times New Roman"/>
          <w:b/>
          <w:bCs/>
          <w:color w:val="000000" w:themeColor="text1"/>
          <w:lang w:eastAsia="zh-CN"/>
        </w:rPr>
      </w:pPr>
    </w:p>
    <w:p w14:paraId="4DA90AA6" w14:textId="09D9959A" w:rsidR="00BB4CF6" w:rsidRPr="00AF34E3" w:rsidRDefault="00000000" w:rsidP="00AF34E3">
      <w:pPr>
        <w:snapToGrid w:val="0"/>
        <w:jc w:val="thaiDistribute"/>
        <w:rPr>
          <w:rFonts w:cs="Times New Roman"/>
          <w:color w:val="000000" w:themeColor="text1"/>
          <w:sz w:val="28"/>
          <w:szCs w:val="28"/>
        </w:rPr>
      </w:pPr>
      <w:r w:rsidRPr="00AF34E3">
        <w:rPr>
          <w:rFonts w:cs="Times New Roman"/>
          <w:b/>
          <w:bCs/>
          <w:color w:val="000000" w:themeColor="text1"/>
          <w:sz w:val="28"/>
          <w:szCs w:val="28"/>
        </w:rPr>
        <w:t>Results</w:t>
      </w:r>
    </w:p>
    <w:p w14:paraId="690A5D91" w14:textId="77777777" w:rsidR="00BB4CF6" w:rsidRPr="001C5C41" w:rsidRDefault="00000000" w:rsidP="00AF34E3">
      <w:pPr>
        <w:snapToGrid w:val="0"/>
        <w:jc w:val="thaiDistribute"/>
        <w:rPr>
          <w:rFonts w:cs="Times New Roman"/>
          <w:color w:val="000000" w:themeColor="text1"/>
        </w:rPr>
      </w:pPr>
      <w:r w:rsidRPr="001C5C41">
        <w:rPr>
          <w:rFonts w:cs="Times New Roman"/>
          <w:b/>
          <w:bCs/>
          <w:color w:val="000000" w:themeColor="text1"/>
        </w:rPr>
        <w:t>Phase 1: Situational Analysis</w:t>
      </w:r>
    </w:p>
    <w:p w14:paraId="4DB466A8" w14:textId="77777777" w:rsidR="00BB4CF6" w:rsidRDefault="00000000" w:rsidP="00AF34E3">
      <w:pPr>
        <w:snapToGrid w:val="0"/>
        <w:ind w:firstLine="567"/>
        <w:jc w:val="thaiDistribute"/>
        <w:rPr>
          <w:rFonts w:cs="Times New Roman"/>
          <w:color w:val="000000" w:themeColor="text1"/>
        </w:rPr>
      </w:pPr>
      <w:r w:rsidRPr="001C5C41">
        <w:rPr>
          <w:rFonts w:cs="Times New Roman"/>
          <w:color w:val="000000" w:themeColor="text1"/>
        </w:rPr>
        <w:t>Survey responses from 186 players revealed a pronounced disconnect between fitness awareness and training practice. Players rated their belief that better aerobic endurance aids rally recovery at x̄ = 4.65 (Highest) and that poor aerobic fitness degrades technique in long matches at x̄ = 4.55 (Highest), yet rated their prior participation in structured HIIT at only x̄ = 1.52 (Very Poor). Similarly, prior structured core-strength training was rated at x̄ = 1.48 (Very Poor), despite the belief that stronger core muscles improve smash velocity reaching x̄ = 4.45 (High). Movement fluency self-assessment was only Moderate (x̄ = 2.85), with late shuttle arrival routinely compromising shot quality (x̄ = 4.15; Table 1). Coach data mirrored these findings: aerobic conditioning and core strength programme inclusion were rated as Poor (x̅ = 2.15 and 2.05, respectively), whilst coaches simultaneously affirmed the importance of these qualities at Highest level (x̅ = 4.75 and 4.65). These results established an evidence-based rationale for a structured, expert-developed training intervention.</w:t>
      </w:r>
    </w:p>
    <w:p w14:paraId="26FE5608" w14:textId="77777777" w:rsidR="00AF34E3" w:rsidRPr="001C5C41" w:rsidRDefault="00AF34E3" w:rsidP="00AF34E3">
      <w:pPr>
        <w:snapToGrid w:val="0"/>
        <w:ind w:firstLine="720"/>
        <w:jc w:val="thaiDistribute"/>
        <w:rPr>
          <w:rFonts w:cs="Times New Roman"/>
          <w:color w:val="000000" w:themeColor="text1"/>
        </w:rPr>
      </w:pPr>
    </w:p>
    <w:p w14:paraId="6886E42C" w14:textId="6E4D4EBD" w:rsidR="00BB4CF6" w:rsidRPr="001C5C41" w:rsidRDefault="00000000" w:rsidP="00AF34E3">
      <w:pPr>
        <w:snapToGrid w:val="0"/>
        <w:jc w:val="thaiDistribute"/>
        <w:rPr>
          <w:rFonts w:cs="Times New Roman"/>
          <w:color w:val="000000" w:themeColor="text1"/>
        </w:rPr>
      </w:pPr>
      <w:r w:rsidRPr="001C5C41">
        <w:rPr>
          <w:rFonts w:cs="Times New Roman"/>
          <w:b/>
          <w:bCs/>
          <w:color w:val="000000" w:themeColor="text1"/>
        </w:rPr>
        <w:t xml:space="preserve">Table </w:t>
      </w:r>
      <w:r w:rsidR="00CD3EA4" w:rsidRPr="001C5C41">
        <w:rPr>
          <w:rFonts w:cs="Times New Roman"/>
          <w:b/>
          <w:bCs/>
          <w:color w:val="000000" w:themeColor="text1"/>
        </w:rPr>
        <w:t>2</w:t>
      </w:r>
      <w:r w:rsidRPr="001C5C41">
        <w:rPr>
          <w:rFonts w:cs="Times New Roman"/>
          <w:b/>
          <w:bCs/>
          <w:color w:val="000000" w:themeColor="text1"/>
        </w:rPr>
        <w:t xml:space="preserve"> </w:t>
      </w:r>
      <w:r w:rsidRPr="00AF34E3">
        <w:rPr>
          <w:rFonts w:cs="Times New Roman"/>
          <w:color w:val="000000" w:themeColor="text1"/>
        </w:rPr>
        <w:t>Player Survey Results: Current Physical Fitness Status and Training Practices (</w:t>
      </w:r>
      <w:r w:rsidR="00CD3EA4" w:rsidRPr="00AF34E3">
        <w:rPr>
          <w:rFonts w:cs="Times New Roman"/>
          <w:color w:val="000000" w:themeColor="text1"/>
          <w:lang w:val="en-US"/>
        </w:rPr>
        <w:t>n</w:t>
      </w:r>
      <w:r w:rsidRPr="00AF34E3">
        <w:rPr>
          <w:rFonts w:cs="Times New Roman"/>
          <w:color w:val="000000" w:themeColor="text1"/>
        </w:rPr>
        <w:t xml:space="preserve"> = 186)</w:t>
      </w:r>
    </w:p>
    <w:tbl>
      <w:tblPr>
        <w:tblStyle w:val="TableGrid"/>
        <w:tblW w:w="9026" w:type="dxa"/>
        <w:tblLook w:val="0000" w:firstRow="0" w:lastRow="0" w:firstColumn="0" w:lastColumn="0" w:noHBand="0" w:noVBand="0"/>
      </w:tblPr>
      <w:tblGrid>
        <w:gridCol w:w="5949"/>
        <w:gridCol w:w="992"/>
        <w:gridCol w:w="851"/>
        <w:gridCol w:w="1234"/>
      </w:tblGrid>
      <w:tr w:rsidR="001C5C41" w:rsidRPr="001C5C41" w14:paraId="0E0FFDDB" w14:textId="77777777" w:rsidTr="00AF34E3">
        <w:tc>
          <w:tcPr>
            <w:tcW w:w="5949" w:type="dxa"/>
          </w:tcPr>
          <w:p w14:paraId="19EC67EB" w14:textId="77777777" w:rsidR="00BB4CF6" w:rsidRPr="001C5C41" w:rsidRDefault="00000000" w:rsidP="00AF34E3">
            <w:pPr>
              <w:snapToGrid w:val="0"/>
              <w:jc w:val="center"/>
              <w:rPr>
                <w:rFonts w:cs="Times New Roman"/>
                <w:color w:val="000000" w:themeColor="text1"/>
              </w:rPr>
            </w:pPr>
            <w:r w:rsidRPr="001C5C41">
              <w:rPr>
                <w:rFonts w:cs="Times New Roman"/>
                <w:b/>
                <w:bCs/>
                <w:color w:val="000000" w:themeColor="text1"/>
              </w:rPr>
              <w:t>Survey Item (Players, N=186)</w:t>
            </w:r>
          </w:p>
        </w:tc>
        <w:tc>
          <w:tcPr>
            <w:tcW w:w="992" w:type="dxa"/>
          </w:tcPr>
          <w:p w14:paraId="1D5B667C" w14:textId="77777777" w:rsidR="00BB4CF6" w:rsidRPr="001C5C41" w:rsidRDefault="00000000" w:rsidP="00AF34E3">
            <w:pPr>
              <w:snapToGrid w:val="0"/>
              <w:jc w:val="center"/>
              <w:rPr>
                <w:rFonts w:cs="Times New Roman"/>
                <w:color w:val="000000" w:themeColor="text1"/>
              </w:rPr>
            </w:pPr>
            <w:r w:rsidRPr="001C5C41">
              <w:rPr>
                <w:rFonts w:cs="Times New Roman"/>
                <w:b/>
                <w:bCs/>
                <w:color w:val="000000" w:themeColor="text1"/>
              </w:rPr>
              <w:t>x̅</w:t>
            </w:r>
          </w:p>
        </w:tc>
        <w:tc>
          <w:tcPr>
            <w:tcW w:w="851" w:type="dxa"/>
          </w:tcPr>
          <w:p w14:paraId="56775ACB" w14:textId="77777777" w:rsidR="00BB4CF6" w:rsidRPr="001C5C41" w:rsidRDefault="00000000" w:rsidP="00AF34E3">
            <w:pPr>
              <w:snapToGrid w:val="0"/>
              <w:jc w:val="center"/>
              <w:rPr>
                <w:rFonts w:cs="Times New Roman"/>
                <w:color w:val="000000" w:themeColor="text1"/>
              </w:rPr>
            </w:pPr>
            <w:r w:rsidRPr="001C5C41">
              <w:rPr>
                <w:rFonts w:cs="Times New Roman"/>
                <w:b/>
                <w:bCs/>
                <w:color w:val="000000" w:themeColor="text1"/>
              </w:rPr>
              <w:t>SD</w:t>
            </w:r>
          </w:p>
        </w:tc>
        <w:tc>
          <w:tcPr>
            <w:tcW w:w="1234" w:type="dxa"/>
          </w:tcPr>
          <w:p w14:paraId="3BE2FCFB" w14:textId="77777777" w:rsidR="00BB4CF6" w:rsidRPr="001C5C41" w:rsidRDefault="00000000" w:rsidP="00AF34E3">
            <w:pPr>
              <w:snapToGrid w:val="0"/>
              <w:jc w:val="center"/>
              <w:rPr>
                <w:rFonts w:cs="Times New Roman"/>
                <w:color w:val="000000" w:themeColor="text1"/>
              </w:rPr>
            </w:pPr>
            <w:r w:rsidRPr="001C5C41">
              <w:rPr>
                <w:rFonts w:cs="Times New Roman"/>
                <w:b/>
                <w:bCs/>
                <w:color w:val="000000" w:themeColor="text1"/>
              </w:rPr>
              <w:t>Level</w:t>
            </w:r>
          </w:p>
        </w:tc>
      </w:tr>
      <w:tr w:rsidR="001C5C41" w:rsidRPr="001C5C41" w14:paraId="34EB2104" w14:textId="77777777" w:rsidTr="00AF34E3">
        <w:tc>
          <w:tcPr>
            <w:tcW w:w="5949" w:type="dxa"/>
          </w:tcPr>
          <w:p w14:paraId="168A77C7"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1. Aerobic capacity is well understood</w:t>
            </w:r>
          </w:p>
        </w:tc>
        <w:tc>
          <w:tcPr>
            <w:tcW w:w="992" w:type="dxa"/>
          </w:tcPr>
          <w:p w14:paraId="5921D021"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2.35</w:t>
            </w:r>
          </w:p>
        </w:tc>
        <w:tc>
          <w:tcPr>
            <w:tcW w:w="851" w:type="dxa"/>
          </w:tcPr>
          <w:p w14:paraId="013A5CBB"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0.68</w:t>
            </w:r>
          </w:p>
        </w:tc>
        <w:tc>
          <w:tcPr>
            <w:tcW w:w="1234" w:type="dxa"/>
          </w:tcPr>
          <w:p w14:paraId="37042423"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Poor</w:t>
            </w:r>
          </w:p>
        </w:tc>
      </w:tr>
      <w:tr w:rsidR="001C5C41" w:rsidRPr="001C5C41" w14:paraId="4EECF454" w14:textId="77777777" w:rsidTr="00AF34E3">
        <w:tc>
          <w:tcPr>
            <w:tcW w:w="5949" w:type="dxa"/>
          </w:tcPr>
          <w:p w14:paraId="3B5E74A3"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2. Prior participation in structured HIIT</w:t>
            </w:r>
          </w:p>
        </w:tc>
        <w:tc>
          <w:tcPr>
            <w:tcW w:w="992" w:type="dxa"/>
          </w:tcPr>
          <w:p w14:paraId="31AD776B"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1.52</w:t>
            </w:r>
          </w:p>
        </w:tc>
        <w:tc>
          <w:tcPr>
            <w:tcW w:w="851" w:type="dxa"/>
          </w:tcPr>
          <w:p w14:paraId="66CB146B"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0.55</w:t>
            </w:r>
          </w:p>
        </w:tc>
        <w:tc>
          <w:tcPr>
            <w:tcW w:w="1234" w:type="dxa"/>
          </w:tcPr>
          <w:p w14:paraId="17DB30D4"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Very Poor</w:t>
            </w:r>
          </w:p>
        </w:tc>
      </w:tr>
      <w:tr w:rsidR="001C5C41" w:rsidRPr="001C5C41" w14:paraId="0A736EC4" w14:textId="77777777" w:rsidTr="00AF34E3">
        <w:tc>
          <w:tcPr>
            <w:tcW w:w="5949" w:type="dxa"/>
          </w:tcPr>
          <w:p w14:paraId="73662702"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3. Better aerobic endurance aids rally recovery</w:t>
            </w:r>
          </w:p>
        </w:tc>
        <w:tc>
          <w:tcPr>
            <w:tcW w:w="992" w:type="dxa"/>
          </w:tcPr>
          <w:p w14:paraId="30F37888"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4.65</w:t>
            </w:r>
          </w:p>
        </w:tc>
        <w:tc>
          <w:tcPr>
            <w:tcW w:w="851" w:type="dxa"/>
          </w:tcPr>
          <w:p w14:paraId="0763B62D"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0.48</w:t>
            </w:r>
          </w:p>
        </w:tc>
        <w:tc>
          <w:tcPr>
            <w:tcW w:w="1234" w:type="dxa"/>
          </w:tcPr>
          <w:p w14:paraId="17509BBD"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Highest</w:t>
            </w:r>
          </w:p>
        </w:tc>
      </w:tr>
      <w:tr w:rsidR="001C5C41" w:rsidRPr="001C5C41" w14:paraId="360EDC69" w14:textId="77777777" w:rsidTr="00AF34E3">
        <w:tc>
          <w:tcPr>
            <w:tcW w:w="5949" w:type="dxa"/>
          </w:tcPr>
          <w:p w14:paraId="096D0529"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4. Poor aerobic fitness degrades technique in long matches</w:t>
            </w:r>
          </w:p>
        </w:tc>
        <w:tc>
          <w:tcPr>
            <w:tcW w:w="992" w:type="dxa"/>
          </w:tcPr>
          <w:p w14:paraId="366BB2F6"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4.55</w:t>
            </w:r>
          </w:p>
        </w:tc>
        <w:tc>
          <w:tcPr>
            <w:tcW w:w="851" w:type="dxa"/>
          </w:tcPr>
          <w:p w14:paraId="5CBD62A1"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0.52</w:t>
            </w:r>
          </w:p>
        </w:tc>
        <w:tc>
          <w:tcPr>
            <w:tcW w:w="1234" w:type="dxa"/>
          </w:tcPr>
          <w:p w14:paraId="687D9D77"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Highest</w:t>
            </w:r>
          </w:p>
        </w:tc>
      </w:tr>
      <w:tr w:rsidR="001C5C41" w:rsidRPr="001C5C41" w14:paraId="1022574C" w14:textId="77777777" w:rsidTr="00AF34E3">
        <w:tc>
          <w:tcPr>
            <w:tcW w:w="5949" w:type="dxa"/>
          </w:tcPr>
          <w:p w14:paraId="732A7D7C"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5. Core strength role in stroke power is understood</w:t>
            </w:r>
          </w:p>
        </w:tc>
        <w:tc>
          <w:tcPr>
            <w:tcW w:w="992" w:type="dxa"/>
          </w:tcPr>
          <w:p w14:paraId="401CF9FB"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2.45</w:t>
            </w:r>
          </w:p>
        </w:tc>
        <w:tc>
          <w:tcPr>
            <w:tcW w:w="851" w:type="dxa"/>
          </w:tcPr>
          <w:p w14:paraId="32AED64B"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0.72</w:t>
            </w:r>
          </w:p>
        </w:tc>
        <w:tc>
          <w:tcPr>
            <w:tcW w:w="1234" w:type="dxa"/>
          </w:tcPr>
          <w:p w14:paraId="785FD95A"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Poor</w:t>
            </w:r>
          </w:p>
        </w:tc>
      </w:tr>
      <w:tr w:rsidR="001C5C41" w:rsidRPr="001C5C41" w14:paraId="7501376F" w14:textId="77777777" w:rsidTr="00AF34E3">
        <w:tc>
          <w:tcPr>
            <w:tcW w:w="5949" w:type="dxa"/>
          </w:tcPr>
          <w:p w14:paraId="107BACFE"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6. Prior structured core-strength training</w:t>
            </w:r>
          </w:p>
        </w:tc>
        <w:tc>
          <w:tcPr>
            <w:tcW w:w="992" w:type="dxa"/>
          </w:tcPr>
          <w:p w14:paraId="73A85075"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1.48</w:t>
            </w:r>
          </w:p>
        </w:tc>
        <w:tc>
          <w:tcPr>
            <w:tcW w:w="851" w:type="dxa"/>
          </w:tcPr>
          <w:p w14:paraId="1B237D96"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0.52</w:t>
            </w:r>
          </w:p>
        </w:tc>
        <w:tc>
          <w:tcPr>
            <w:tcW w:w="1234" w:type="dxa"/>
          </w:tcPr>
          <w:p w14:paraId="3B959851"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Very Poor</w:t>
            </w:r>
          </w:p>
        </w:tc>
      </w:tr>
      <w:tr w:rsidR="001C5C41" w:rsidRPr="001C5C41" w14:paraId="41B21973" w14:textId="77777777" w:rsidTr="00AF34E3">
        <w:tc>
          <w:tcPr>
            <w:tcW w:w="5949" w:type="dxa"/>
          </w:tcPr>
          <w:p w14:paraId="4AB89FA0"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7. Stronger core improves smash velocity</w:t>
            </w:r>
          </w:p>
        </w:tc>
        <w:tc>
          <w:tcPr>
            <w:tcW w:w="992" w:type="dxa"/>
          </w:tcPr>
          <w:p w14:paraId="27D0922C"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4.45</w:t>
            </w:r>
          </w:p>
        </w:tc>
        <w:tc>
          <w:tcPr>
            <w:tcW w:w="851" w:type="dxa"/>
          </w:tcPr>
          <w:p w14:paraId="07845BAF"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0.55</w:t>
            </w:r>
          </w:p>
        </w:tc>
        <w:tc>
          <w:tcPr>
            <w:tcW w:w="1234" w:type="dxa"/>
          </w:tcPr>
          <w:p w14:paraId="7BBDF6CD"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High</w:t>
            </w:r>
          </w:p>
        </w:tc>
      </w:tr>
      <w:tr w:rsidR="001C5C41" w:rsidRPr="001C5C41" w14:paraId="453FAAB4" w14:textId="77777777" w:rsidTr="00AF34E3">
        <w:tc>
          <w:tcPr>
            <w:tcW w:w="5949" w:type="dxa"/>
          </w:tcPr>
          <w:p w14:paraId="688717BB"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8. Current footwork is smooth in all six corners</w:t>
            </w:r>
          </w:p>
        </w:tc>
        <w:tc>
          <w:tcPr>
            <w:tcW w:w="992" w:type="dxa"/>
          </w:tcPr>
          <w:p w14:paraId="21A661AA"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2.85</w:t>
            </w:r>
          </w:p>
        </w:tc>
        <w:tc>
          <w:tcPr>
            <w:tcW w:w="851" w:type="dxa"/>
          </w:tcPr>
          <w:p w14:paraId="06FD6C7C"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0.65</w:t>
            </w:r>
          </w:p>
        </w:tc>
        <w:tc>
          <w:tcPr>
            <w:tcW w:w="1234" w:type="dxa"/>
          </w:tcPr>
          <w:p w14:paraId="43378D97"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Moderate</w:t>
            </w:r>
          </w:p>
        </w:tc>
      </w:tr>
      <w:tr w:rsidR="001C5C41" w:rsidRPr="001C5C41" w14:paraId="2658AC06" w14:textId="77777777" w:rsidTr="00AF34E3">
        <w:tc>
          <w:tcPr>
            <w:tcW w:w="5949" w:type="dxa"/>
          </w:tcPr>
          <w:p w14:paraId="368494DB"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9. Late shuttle arrival causes poor shot quality</w:t>
            </w:r>
          </w:p>
        </w:tc>
        <w:tc>
          <w:tcPr>
            <w:tcW w:w="992" w:type="dxa"/>
          </w:tcPr>
          <w:p w14:paraId="174F6AC1"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4.15</w:t>
            </w:r>
          </w:p>
        </w:tc>
        <w:tc>
          <w:tcPr>
            <w:tcW w:w="851" w:type="dxa"/>
          </w:tcPr>
          <w:p w14:paraId="5CBF35BE"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0.58</w:t>
            </w:r>
          </w:p>
        </w:tc>
        <w:tc>
          <w:tcPr>
            <w:tcW w:w="1234" w:type="dxa"/>
          </w:tcPr>
          <w:p w14:paraId="2E7DACBD"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High</w:t>
            </w:r>
          </w:p>
        </w:tc>
      </w:tr>
      <w:tr w:rsidR="001C5C41" w:rsidRPr="001C5C41" w14:paraId="4AF43C1B" w14:textId="77777777" w:rsidTr="00AF34E3">
        <w:tc>
          <w:tcPr>
            <w:tcW w:w="5949" w:type="dxa"/>
          </w:tcPr>
          <w:p w14:paraId="32CC2218"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10. Improved fluency will reduce injury risk</w:t>
            </w:r>
          </w:p>
        </w:tc>
        <w:tc>
          <w:tcPr>
            <w:tcW w:w="992" w:type="dxa"/>
          </w:tcPr>
          <w:p w14:paraId="5C44CA3C"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4.35</w:t>
            </w:r>
          </w:p>
        </w:tc>
        <w:tc>
          <w:tcPr>
            <w:tcW w:w="851" w:type="dxa"/>
          </w:tcPr>
          <w:p w14:paraId="560F3FA1"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0.50</w:t>
            </w:r>
          </w:p>
        </w:tc>
        <w:tc>
          <w:tcPr>
            <w:tcW w:w="1234" w:type="dxa"/>
          </w:tcPr>
          <w:p w14:paraId="2208E98B" w14:textId="77777777" w:rsidR="00BB4CF6" w:rsidRPr="001C5C41" w:rsidRDefault="00000000" w:rsidP="00AF34E3">
            <w:pPr>
              <w:snapToGrid w:val="0"/>
              <w:jc w:val="center"/>
              <w:rPr>
                <w:rFonts w:cs="Times New Roman"/>
                <w:color w:val="000000" w:themeColor="text1"/>
              </w:rPr>
            </w:pPr>
            <w:r w:rsidRPr="001C5C41">
              <w:rPr>
                <w:rFonts w:cs="Times New Roman"/>
                <w:color w:val="000000" w:themeColor="text1"/>
              </w:rPr>
              <w:t>High</w:t>
            </w:r>
          </w:p>
        </w:tc>
      </w:tr>
    </w:tbl>
    <w:p w14:paraId="16B2C402" w14:textId="77777777" w:rsidR="00BB4CF6" w:rsidRDefault="00000000" w:rsidP="00AF34E3">
      <w:pPr>
        <w:snapToGrid w:val="0"/>
        <w:jc w:val="thaiDistribute"/>
        <w:rPr>
          <w:rFonts w:cs="Times New Roman"/>
          <w:color w:val="000000" w:themeColor="text1"/>
        </w:rPr>
      </w:pPr>
      <w:r w:rsidRPr="00AF34E3">
        <w:rPr>
          <w:rFonts w:cs="Times New Roman"/>
          <w:color w:val="000000" w:themeColor="text1"/>
        </w:rPr>
        <w:lastRenderedPageBreak/>
        <w:t>Note. Scale: 4.21–5.00 = Highest; 3.41–4.20 = High; 2.61–3.40 = Moderate; 1.81–2.60 = Poor; 1.00–1.80 = Very Poor.</w:t>
      </w:r>
    </w:p>
    <w:p w14:paraId="0F366052" w14:textId="77777777" w:rsidR="00AF34E3" w:rsidRDefault="00AF34E3" w:rsidP="00AF34E3">
      <w:pPr>
        <w:snapToGrid w:val="0"/>
        <w:jc w:val="thaiDistribute"/>
        <w:rPr>
          <w:rFonts w:cs="Times New Roman"/>
          <w:color w:val="000000" w:themeColor="text1"/>
        </w:rPr>
      </w:pPr>
    </w:p>
    <w:p w14:paraId="6786ED6C" w14:textId="6E2EA9D6" w:rsidR="00BB4CF6" w:rsidRPr="001C5C41" w:rsidRDefault="00000000" w:rsidP="00AF34E3">
      <w:pPr>
        <w:snapToGrid w:val="0"/>
        <w:jc w:val="thaiDistribute"/>
        <w:rPr>
          <w:rFonts w:cs="Times New Roman"/>
          <w:color w:val="000000" w:themeColor="text1"/>
        </w:rPr>
      </w:pPr>
      <w:r w:rsidRPr="001C5C41">
        <w:rPr>
          <w:rFonts w:cs="Times New Roman"/>
          <w:b/>
          <w:bCs/>
          <w:color w:val="000000" w:themeColor="text1"/>
        </w:rPr>
        <w:t>Phase 2: Programme Development</w:t>
      </w:r>
    </w:p>
    <w:p w14:paraId="3E4F2585" w14:textId="77777777" w:rsidR="00BB4CF6" w:rsidRPr="001C5C41" w:rsidRDefault="00000000" w:rsidP="00AF34E3">
      <w:pPr>
        <w:snapToGrid w:val="0"/>
        <w:ind w:firstLine="567"/>
        <w:jc w:val="thaiDistribute"/>
        <w:rPr>
          <w:rFonts w:cs="Times New Roman"/>
          <w:color w:val="000000" w:themeColor="text1"/>
        </w:rPr>
      </w:pPr>
      <w:r w:rsidRPr="001C5C41">
        <w:rPr>
          <w:rFonts w:cs="Times New Roman"/>
          <w:color w:val="000000" w:themeColor="text1"/>
        </w:rPr>
        <w:t>Expert interview and focus group analysis yielded four primary programme design principles: (1) systematic three-phase periodisation with progressive overload; (2) concurrent integration of HIIT, functional core work, and reactive agility, with technical execution performed under induced physiological fatigue; (3) prioritisation of movement quality and sport-specific exercise prescription (30-second multi-shuttle drills, medicine ball rotational throws, 6-corner LED reactive drills); and (4) embedded injury prevention protocols comprising movement screening, dynamic warm-up, and load monitoring via heart rate and perceived exertion. The resulting programme achieved IOC = 0.90 across all components, confirming high content validity.</w:t>
      </w:r>
    </w:p>
    <w:p w14:paraId="5EE88FC5" w14:textId="77777777" w:rsidR="00AF34E3" w:rsidRDefault="00AF34E3" w:rsidP="00AF34E3">
      <w:pPr>
        <w:snapToGrid w:val="0"/>
        <w:jc w:val="thaiDistribute"/>
        <w:rPr>
          <w:rFonts w:cs="Times New Roman"/>
          <w:b/>
          <w:bCs/>
          <w:color w:val="000000" w:themeColor="text1"/>
        </w:rPr>
      </w:pPr>
    </w:p>
    <w:p w14:paraId="7D5F3E9F" w14:textId="3419DAB8" w:rsidR="00BB4CF6" w:rsidRPr="001C5C41" w:rsidRDefault="00000000" w:rsidP="00AF34E3">
      <w:pPr>
        <w:snapToGrid w:val="0"/>
        <w:jc w:val="thaiDistribute"/>
        <w:rPr>
          <w:rFonts w:cs="Times New Roman"/>
          <w:color w:val="000000" w:themeColor="text1"/>
        </w:rPr>
      </w:pPr>
      <w:r w:rsidRPr="001C5C41">
        <w:rPr>
          <w:rFonts w:cs="Times New Roman"/>
          <w:b/>
          <w:bCs/>
          <w:color w:val="000000" w:themeColor="text1"/>
        </w:rPr>
        <w:t>Phase 3: Intervention Effectiveness</w:t>
      </w:r>
    </w:p>
    <w:p w14:paraId="5A9BB4AB" w14:textId="77777777" w:rsidR="00AF34E3" w:rsidRDefault="00000000" w:rsidP="00AF34E3">
      <w:pPr>
        <w:snapToGrid w:val="0"/>
        <w:ind w:firstLine="567"/>
        <w:jc w:val="thaiDistribute"/>
        <w:rPr>
          <w:rFonts w:cs="Times New Roman"/>
          <w:color w:val="000000" w:themeColor="text1"/>
        </w:rPr>
      </w:pPr>
      <w:r w:rsidRPr="001C5C41">
        <w:rPr>
          <w:rFonts w:cs="Times New Roman"/>
          <w:b/>
          <w:bCs/>
          <w:color w:val="000000" w:themeColor="text1"/>
        </w:rPr>
        <w:t>Statistical Assumption Verification</w:t>
      </w:r>
    </w:p>
    <w:p w14:paraId="71B7275F" w14:textId="2E750709" w:rsidR="00BB4CF6" w:rsidRDefault="00000000" w:rsidP="00AF34E3">
      <w:pPr>
        <w:snapToGrid w:val="0"/>
        <w:ind w:firstLine="567"/>
        <w:jc w:val="thaiDistribute"/>
        <w:rPr>
          <w:rFonts w:cs="Times New Roman"/>
          <w:color w:val="000000" w:themeColor="text1"/>
        </w:rPr>
      </w:pPr>
      <w:r w:rsidRPr="001C5C41">
        <w:rPr>
          <w:rFonts w:cs="Times New Roman"/>
          <w:color w:val="000000" w:themeColor="text1"/>
        </w:rPr>
        <w:t xml:space="preserve">Prior to inferential testing, all parametric assumptions were systematically evaluated. Normality was assessed using the Shapiro–Wilk test for each variable at each time point within both groups (n = 25 per group). All W statistics ranged from 0.944 to 0.972 with associated p-values exceeding .05 at all measurement intervals (Table </w:t>
      </w:r>
      <w:r w:rsidR="0004091A" w:rsidRPr="001C5C41">
        <w:rPr>
          <w:rFonts w:cs="Times New Roman"/>
          <w:color w:val="000000" w:themeColor="text1"/>
        </w:rPr>
        <w:t>3</w:t>
      </w:r>
      <w:r w:rsidRPr="001C5C41">
        <w:rPr>
          <w:rFonts w:cs="Times New Roman"/>
          <w:color w:val="000000" w:themeColor="text1"/>
        </w:rPr>
        <w:t xml:space="preserve">), confirming approximate normality across aerobic capacity, core strength, and movement fluency data. Homogeneity of variance between the experimental and control groups was examined using Levene’s test at pre-test and post-test. All F-values were non-significant (all p &gt; .05; Table </w:t>
      </w:r>
      <w:r w:rsidR="0004091A" w:rsidRPr="001C5C41">
        <w:rPr>
          <w:rFonts w:cs="Times New Roman"/>
          <w:color w:val="000000" w:themeColor="text1"/>
        </w:rPr>
        <w:t>4</w:t>
      </w:r>
      <w:r w:rsidRPr="001C5C41">
        <w:rPr>
          <w:rFonts w:cs="Times New Roman"/>
          <w:color w:val="000000" w:themeColor="text1"/>
        </w:rPr>
        <w:t>), confirming equal variances and satisfying the prerequisite for independent-samples t-testing. Sphericity for repeated-measures ANOVA was assessed via Mauchly’s test; no significant violations were detected (all p &gt; .05), so no Greenhouse–Geisser correction was required and standard F-values are reported with df = 2, 48. These results confirm that parametric procedures were statistically appropriate for all analyses conducted.</w:t>
      </w:r>
    </w:p>
    <w:p w14:paraId="2942589A" w14:textId="77777777" w:rsidR="00AF34E3" w:rsidRPr="001C5C41" w:rsidRDefault="00AF34E3" w:rsidP="00AF34E3">
      <w:pPr>
        <w:snapToGrid w:val="0"/>
        <w:ind w:firstLine="567"/>
        <w:jc w:val="thaiDistribute"/>
        <w:rPr>
          <w:rFonts w:cs="Times New Roman"/>
          <w:color w:val="000000" w:themeColor="text1"/>
        </w:rPr>
      </w:pPr>
    </w:p>
    <w:p w14:paraId="72189955" w14:textId="226EDA24" w:rsidR="00BB4CF6" w:rsidRPr="00AF34E3" w:rsidRDefault="00000000" w:rsidP="00AF34E3">
      <w:pPr>
        <w:snapToGrid w:val="0"/>
        <w:jc w:val="thaiDistribute"/>
        <w:rPr>
          <w:rFonts w:cs="Times New Roman"/>
          <w:color w:val="000000" w:themeColor="text1"/>
        </w:rPr>
      </w:pPr>
      <w:r w:rsidRPr="001C5C41">
        <w:rPr>
          <w:rFonts w:cs="Times New Roman"/>
          <w:b/>
          <w:bCs/>
          <w:color w:val="000000" w:themeColor="text1"/>
        </w:rPr>
        <w:t xml:space="preserve">Table 3 </w:t>
      </w:r>
      <w:r w:rsidRPr="00AF34E3">
        <w:rPr>
          <w:rFonts w:cs="Times New Roman"/>
          <w:color w:val="000000" w:themeColor="text1"/>
        </w:rPr>
        <w:t>Pre-Test Equivalence: Independent-Samples t-Test Between Experimental and Control Groups</w:t>
      </w:r>
    </w:p>
    <w:tbl>
      <w:tblPr>
        <w:tblStyle w:val="TableGrid"/>
        <w:tblW w:w="9236" w:type="dxa"/>
        <w:jc w:val="center"/>
        <w:tblLook w:val="0000" w:firstRow="0" w:lastRow="0" w:firstColumn="0" w:lastColumn="0" w:noHBand="0" w:noVBand="0"/>
      </w:tblPr>
      <w:tblGrid>
        <w:gridCol w:w="2410"/>
        <w:gridCol w:w="1600"/>
        <w:gridCol w:w="1600"/>
        <w:gridCol w:w="900"/>
        <w:gridCol w:w="900"/>
        <w:gridCol w:w="1026"/>
        <w:gridCol w:w="800"/>
      </w:tblGrid>
      <w:tr w:rsidR="001C5C41" w:rsidRPr="001C5C41" w14:paraId="61D74205" w14:textId="77777777" w:rsidTr="00C017E6">
        <w:trPr>
          <w:jc w:val="center"/>
        </w:trPr>
        <w:tc>
          <w:tcPr>
            <w:tcW w:w="2410" w:type="dxa"/>
          </w:tcPr>
          <w:p w14:paraId="34BF4ABD"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Variable</w:t>
            </w:r>
          </w:p>
        </w:tc>
        <w:tc>
          <w:tcPr>
            <w:tcW w:w="1600" w:type="dxa"/>
          </w:tcPr>
          <w:p w14:paraId="29A30E0D"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Exp. (M±SD)</w:t>
            </w:r>
          </w:p>
        </w:tc>
        <w:tc>
          <w:tcPr>
            <w:tcW w:w="1600" w:type="dxa"/>
          </w:tcPr>
          <w:p w14:paraId="6F5ED6F2"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Ctrl. (M±SD)</w:t>
            </w:r>
          </w:p>
        </w:tc>
        <w:tc>
          <w:tcPr>
            <w:tcW w:w="900" w:type="dxa"/>
          </w:tcPr>
          <w:p w14:paraId="2468F408"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95% CI Lower</w:t>
            </w:r>
          </w:p>
        </w:tc>
        <w:tc>
          <w:tcPr>
            <w:tcW w:w="900" w:type="dxa"/>
          </w:tcPr>
          <w:p w14:paraId="6966A2F5"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95% CI Upper</w:t>
            </w:r>
          </w:p>
        </w:tc>
        <w:tc>
          <w:tcPr>
            <w:tcW w:w="1026" w:type="dxa"/>
          </w:tcPr>
          <w:p w14:paraId="218678DB"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t</w:t>
            </w:r>
          </w:p>
        </w:tc>
        <w:tc>
          <w:tcPr>
            <w:tcW w:w="800" w:type="dxa"/>
          </w:tcPr>
          <w:p w14:paraId="3ED739F5"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p</w:t>
            </w:r>
          </w:p>
        </w:tc>
      </w:tr>
      <w:tr w:rsidR="001C5C41" w:rsidRPr="001C5C41" w14:paraId="38DF513A" w14:textId="77777777" w:rsidTr="00C017E6">
        <w:trPr>
          <w:jc w:val="center"/>
        </w:trPr>
        <w:tc>
          <w:tcPr>
            <w:tcW w:w="2410" w:type="dxa"/>
          </w:tcPr>
          <w:p w14:paraId="1A0CA7BD"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Aerobic Capacity (ml·kg⁻¹·min⁻¹)</w:t>
            </w:r>
          </w:p>
        </w:tc>
        <w:tc>
          <w:tcPr>
            <w:tcW w:w="1600" w:type="dxa"/>
          </w:tcPr>
          <w:p w14:paraId="728BC30A"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43.90±3.80</w:t>
            </w:r>
          </w:p>
        </w:tc>
        <w:tc>
          <w:tcPr>
            <w:tcW w:w="1600" w:type="dxa"/>
          </w:tcPr>
          <w:p w14:paraId="76C65E7A"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43.30±3.40</w:t>
            </w:r>
          </w:p>
        </w:tc>
        <w:tc>
          <w:tcPr>
            <w:tcW w:w="900" w:type="dxa"/>
          </w:tcPr>
          <w:p w14:paraId="3323544D"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-1.47</w:t>
            </w:r>
          </w:p>
        </w:tc>
        <w:tc>
          <w:tcPr>
            <w:tcW w:w="900" w:type="dxa"/>
          </w:tcPr>
          <w:p w14:paraId="6D65C9B0"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2.67</w:t>
            </w:r>
          </w:p>
        </w:tc>
        <w:tc>
          <w:tcPr>
            <w:tcW w:w="1026" w:type="dxa"/>
          </w:tcPr>
          <w:p w14:paraId="74F75C38"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0.58</w:t>
            </w:r>
          </w:p>
        </w:tc>
        <w:tc>
          <w:tcPr>
            <w:tcW w:w="800" w:type="dxa"/>
          </w:tcPr>
          <w:p w14:paraId="5099D724"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.56</w:t>
            </w:r>
          </w:p>
        </w:tc>
      </w:tr>
      <w:tr w:rsidR="001C5C41" w:rsidRPr="001C5C41" w14:paraId="53FB78AB" w14:textId="77777777" w:rsidTr="00C017E6">
        <w:trPr>
          <w:jc w:val="center"/>
        </w:trPr>
        <w:tc>
          <w:tcPr>
            <w:tcW w:w="2410" w:type="dxa"/>
          </w:tcPr>
          <w:p w14:paraId="6A3BED0B" w14:textId="77777777" w:rsidR="00BB4CF6" w:rsidRPr="001C5C41" w:rsidRDefault="00000000" w:rsidP="00AF34E3">
            <w:pPr>
              <w:snapToGrid w:val="0"/>
              <w:ind w:right="-305"/>
              <w:jc w:val="thaiDistribute"/>
              <w:rPr>
                <w:rFonts w:cs="Times New Roman"/>
                <w:color w:val="000000" w:themeColor="text1"/>
              </w:rPr>
            </w:pPr>
            <w:r w:rsidRPr="001C5C41">
              <w:rPr>
                <w:rFonts w:cs="Times New Roman"/>
                <w:color w:val="000000" w:themeColor="text1"/>
              </w:rPr>
              <w:t>Core Strength (s)</w:t>
            </w:r>
          </w:p>
        </w:tc>
        <w:tc>
          <w:tcPr>
            <w:tcW w:w="1600" w:type="dxa"/>
          </w:tcPr>
          <w:p w14:paraId="1801AA12"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90.60±24.30</w:t>
            </w:r>
          </w:p>
        </w:tc>
        <w:tc>
          <w:tcPr>
            <w:tcW w:w="1600" w:type="dxa"/>
          </w:tcPr>
          <w:p w14:paraId="12E63DAC"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89.70±24.10</w:t>
            </w:r>
          </w:p>
        </w:tc>
        <w:tc>
          <w:tcPr>
            <w:tcW w:w="900" w:type="dxa"/>
          </w:tcPr>
          <w:p w14:paraId="25D8ADC0"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-12.89</w:t>
            </w:r>
          </w:p>
        </w:tc>
        <w:tc>
          <w:tcPr>
            <w:tcW w:w="900" w:type="dxa"/>
          </w:tcPr>
          <w:p w14:paraId="048E766C"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14.65</w:t>
            </w:r>
          </w:p>
        </w:tc>
        <w:tc>
          <w:tcPr>
            <w:tcW w:w="1026" w:type="dxa"/>
          </w:tcPr>
          <w:p w14:paraId="6861AE47"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0.13</w:t>
            </w:r>
          </w:p>
        </w:tc>
        <w:tc>
          <w:tcPr>
            <w:tcW w:w="800" w:type="dxa"/>
          </w:tcPr>
          <w:p w14:paraId="0667B79B"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.90</w:t>
            </w:r>
          </w:p>
        </w:tc>
      </w:tr>
      <w:tr w:rsidR="001C5C41" w:rsidRPr="001C5C41" w14:paraId="19C6D2E2" w14:textId="77777777" w:rsidTr="00C017E6">
        <w:trPr>
          <w:jc w:val="center"/>
        </w:trPr>
        <w:tc>
          <w:tcPr>
            <w:tcW w:w="2410" w:type="dxa"/>
          </w:tcPr>
          <w:p w14:paraId="71511D46" w14:textId="77777777" w:rsidR="00BB4CF6" w:rsidRPr="001C5C41" w:rsidRDefault="00000000" w:rsidP="00AF34E3">
            <w:pPr>
              <w:snapToGrid w:val="0"/>
              <w:jc w:val="thaiDistribute"/>
              <w:rPr>
                <w:rFonts w:cs="Times New Roman"/>
                <w:color w:val="000000" w:themeColor="text1"/>
              </w:rPr>
            </w:pPr>
            <w:r w:rsidRPr="001C5C41">
              <w:rPr>
                <w:rFonts w:cs="Times New Roman"/>
                <w:color w:val="000000" w:themeColor="text1"/>
              </w:rPr>
              <w:t>Movement Fluency (s)</w:t>
            </w:r>
          </w:p>
        </w:tc>
        <w:tc>
          <w:tcPr>
            <w:tcW w:w="1600" w:type="dxa"/>
          </w:tcPr>
          <w:p w14:paraId="4FDCE883"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27.92±1.56</w:t>
            </w:r>
          </w:p>
        </w:tc>
        <w:tc>
          <w:tcPr>
            <w:tcW w:w="1600" w:type="dxa"/>
          </w:tcPr>
          <w:p w14:paraId="68D0BA96"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28.30±1.60</w:t>
            </w:r>
          </w:p>
        </w:tc>
        <w:tc>
          <w:tcPr>
            <w:tcW w:w="900" w:type="dxa"/>
          </w:tcPr>
          <w:p w14:paraId="2A92F3E5"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-1.25</w:t>
            </w:r>
          </w:p>
        </w:tc>
        <w:tc>
          <w:tcPr>
            <w:tcW w:w="900" w:type="dxa"/>
          </w:tcPr>
          <w:p w14:paraId="62A36524"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0.49</w:t>
            </w:r>
          </w:p>
        </w:tc>
        <w:tc>
          <w:tcPr>
            <w:tcW w:w="1026" w:type="dxa"/>
          </w:tcPr>
          <w:p w14:paraId="316C04D3"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-0.86</w:t>
            </w:r>
          </w:p>
        </w:tc>
        <w:tc>
          <w:tcPr>
            <w:tcW w:w="800" w:type="dxa"/>
          </w:tcPr>
          <w:p w14:paraId="1801D7F7"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.40</w:t>
            </w:r>
          </w:p>
        </w:tc>
      </w:tr>
    </w:tbl>
    <w:p w14:paraId="7B94EBC2" w14:textId="77777777" w:rsidR="00BB4CF6" w:rsidRPr="00C017E6" w:rsidRDefault="00000000" w:rsidP="00AF34E3">
      <w:pPr>
        <w:snapToGrid w:val="0"/>
        <w:jc w:val="thaiDistribute"/>
        <w:rPr>
          <w:rFonts w:cs="Times New Roman"/>
          <w:color w:val="000000" w:themeColor="text1"/>
        </w:rPr>
      </w:pPr>
      <w:r w:rsidRPr="00C017E6">
        <w:rPr>
          <w:rFonts w:cs="Times New Roman"/>
          <w:color w:val="000000" w:themeColor="text1"/>
        </w:rPr>
        <w:t>Note. Aerobic capacity expressed as VO₂max estimate (mL·kg⁻¹·min⁻¹); core strength as plank hold duration (s); movement fluency as agility test completion time (s; lower = better).</w:t>
      </w:r>
    </w:p>
    <w:p w14:paraId="6EF17B46" w14:textId="77777777" w:rsidR="00C017E6" w:rsidRPr="001C5C41" w:rsidRDefault="00C017E6" w:rsidP="00AF34E3">
      <w:pPr>
        <w:snapToGrid w:val="0"/>
        <w:jc w:val="thaiDistribute"/>
        <w:rPr>
          <w:rFonts w:cs="Times New Roman"/>
          <w:i/>
          <w:iCs/>
          <w:color w:val="000000" w:themeColor="text1"/>
        </w:rPr>
      </w:pPr>
    </w:p>
    <w:p w14:paraId="7B7D098D" w14:textId="60AED221" w:rsidR="00CD3EA4" w:rsidRDefault="00CD3EA4" w:rsidP="00C017E6">
      <w:pPr>
        <w:snapToGrid w:val="0"/>
        <w:ind w:firstLine="567"/>
        <w:jc w:val="thaiDistribute"/>
        <w:rPr>
          <w:rFonts w:cs="Times New Roman"/>
          <w:color w:val="000000" w:themeColor="text1"/>
        </w:rPr>
      </w:pPr>
      <w:r w:rsidRPr="001C5C41">
        <w:rPr>
          <w:rFonts w:cs="Times New Roman"/>
          <w:color w:val="000000" w:themeColor="text1"/>
        </w:rPr>
        <w:t xml:space="preserve">From tabel 3: No significant pre-test differences were found between groups on any outcome variable, confirming baseline equivalence </w:t>
      </w:r>
    </w:p>
    <w:p w14:paraId="7C674EF3" w14:textId="77777777" w:rsidR="00C017E6" w:rsidRPr="001C5C41" w:rsidRDefault="00C017E6" w:rsidP="00C017E6">
      <w:pPr>
        <w:snapToGrid w:val="0"/>
        <w:ind w:firstLine="567"/>
        <w:jc w:val="thaiDistribute"/>
        <w:rPr>
          <w:rFonts w:cs="Times New Roman"/>
          <w:color w:val="000000" w:themeColor="text1"/>
        </w:rPr>
      </w:pPr>
    </w:p>
    <w:p w14:paraId="1D69D63B" w14:textId="224CC2A8" w:rsidR="00BB4CF6" w:rsidRPr="00C017E6" w:rsidRDefault="00000000" w:rsidP="00AF34E3">
      <w:pPr>
        <w:snapToGrid w:val="0"/>
        <w:jc w:val="thaiDistribute"/>
        <w:rPr>
          <w:rFonts w:cs="Times New Roman"/>
          <w:color w:val="000000" w:themeColor="text1"/>
        </w:rPr>
      </w:pPr>
      <w:r w:rsidRPr="001C5C41">
        <w:rPr>
          <w:rFonts w:cs="Times New Roman"/>
          <w:b/>
          <w:bCs/>
          <w:color w:val="000000" w:themeColor="text1"/>
        </w:rPr>
        <w:t xml:space="preserve">Table 4 </w:t>
      </w:r>
      <w:r w:rsidRPr="00C017E6">
        <w:rPr>
          <w:rFonts w:cs="Times New Roman"/>
          <w:color w:val="000000" w:themeColor="text1"/>
        </w:rPr>
        <w:t>Post-Test Between-Group Comparison: Independent-Samples t-Test</w:t>
      </w:r>
    </w:p>
    <w:tbl>
      <w:tblPr>
        <w:tblStyle w:val="TableGrid"/>
        <w:tblW w:w="9026" w:type="dxa"/>
        <w:jc w:val="center"/>
        <w:tblLook w:val="0000" w:firstRow="0" w:lastRow="0" w:firstColumn="0" w:lastColumn="0" w:noHBand="0" w:noVBand="0"/>
      </w:tblPr>
      <w:tblGrid>
        <w:gridCol w:w="2200"/>
        <w:gridCol w:w="1600"/>
        <w:gridCol w:w="1600"/>
        <w:gridCol w:w="900"/>
        <w:gridCol w:w="900"/>
        <w:gridCol w:w="1026"/>
        <w:gridCol w:w="800"/>
      </w:tblGrid>
      <w:tr w:rsidR="001C5C41" w:rsidRPr="001C5C41" w14:paraId="5F4B57D6" w14:textId="77777777" w:rsidTr="00C017E6">
        <w:trPr>
          <w:jc w:val="center"/>
        </w:trPr>
        <w:tc>
          <w:tcPr>
            <w:tcW w:w="2200" w:type="dxa"/>
          </w:tcPr>
          <w:p w14:paraId="004C60D1"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Variable</w:t>
            </w:r>
          </w:p>
        </w:tc>
        <w:tc>
          <w:tcPr>
            <w:tcW w:w="1600" w:type="dxa"/>
          </w:tcPr>
          <w:p w14:paraId="0D2ADB11"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Exp. (M±SD)</w:t>
            </w:r>
          </w:p>
        </w:tc>
        <w:tc>
          <w:tcPr>
            <w:tcW w:w="1600" w:type="dxa"/>
          </w:tcPr>
          <w:p w14:paraId="4022C3F0"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Ctrl. (M±SD)</w:t>
            </w:r>
          </w:p>
        </w:tc>
        <w:tc>
          <w:tcPr>
            <w:tcW w:w="900" w:type="dxa"/>
          </w:tcPr>
          <w:p w14:paraId="10C3AF37"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95% CI Lower</w:t>
            </w:r>
          </w:p>
        </w:tc>
        <w:tc>
          <w:tcPr>
            <w:tcW w:w="900" w:type="dxa"/>
          </w:tcPr>
          <w:p w14:paraId="3E257DCA"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95% CI Upper</w:t>
            </w:r>
          </w:p>
        </w:tc>
        <w:tc>
          <w:tcPr>
            <w:tcW w:w="1026" w:type="dxa"/>
          </w:tcPr>
          <w:p w14:paraId="3F5779B0"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t</w:t>
            </w:r>
          </w:p>
        </w:tc>
        <w:tc>
          <w:tcPr>
            <w:tcW w:w="800" w:type="dxa"/>
          </w:tcPr>
          <w:p w14:paraId="19E41D79"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p</w:t>
            </w:r>
          </w:p>
        </w:tc>
      </w:tr>
      <w:tr w:rsidR="001C5C41" w:rsidRPr="001C5C41" w14:paraId="5D13224D" w14:textId="77777777" w:rsidTr="00C017E6">
        <w:trPr>
          <w:jc w:val="center"/>
        </w:trPr>
        <w:tc>
          <w:tcPr>
            <w:tcW w:w="2200" w:type="dxa"/>
          </w:tcPr>
          <w:p w14:paraId="6875A560"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Aerobic Capacity (ml·kg⁻¹·min⁻¹)</w:t>
            </w:r>
          </w:p>
        </w:tc>
        <w:tc>
          <w:tcPr>
            <w:tcW w:w="1600" w:type="dxa"/>
          </w:tcPr>
          <w:p w14:paraId="04563EA7"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47.30±3.80</w:t>
            </w:r>
          </w:p>
        </w:tc>
        <w:tc>
          <w:tcPr>
            <w:tcW w:w="1600" w:type="dxa"/>
          </w:tcPr>
          <w:p w14:paraId="7BAE39EC"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44.70±3.40</w:t>
            </w:r>
          </w:p>
        </w:tc>
        <w:tc>
          <w:tcPr>
            <w:tcW w:w="900" w:type="dxa"/>
          </w:tcPr>
          <w:p w14:paraId="65F107D8"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0.94</w:t>
            </w:r>
          </w:p>
        </w:tc>
        <w:tc>
          <w:tcPr>
            <w:tcW w:w="900" w:type="dxa"/>
          </w:tcPr>
          <w:p w14:paraId="6AC6E612"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4.26</w:t>
            </w:r>
          </w:p>
        </w:tc>
        <w:tc>
          <w:tcPr>
            <w:tcW w:w="1026" w:type="dxa"/>
          </w:tcPr>
          <w:p w14:paraId="6B75435D"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2.76</w:t>
            </w:r>
          </w:p>
        </w:tc>
        <w:tc>
          <w:tcPr>
            <w:tcW w:w="800" w:type="dxa"/>
          </w:tcPr>
          <w:p w14:paraId="0CA6262C"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.008*</w:t>
            </w:r>
          </w:p>
        </w:tc>
      </w:tr>
      <w:tr w:rsidR="001C5C41" w:rsidRPr="001C5C41" w14:paraId="736143C7" w14:textId="77777777" w:rsidTr="00C017E6">
        <w:trPr>
          <w:jc w:val="center"/>
        </w:trPr>
        <w:tc>
          <w:tcPr>
            <w:tcW w:w="2200" w:type="dxa"/>
          </w:tcPr>
          <w:p w14:paraId="4217C647"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Core Strength (s)</w:t>
            </w:r>
          </w:p>
        </w:tc>
        <w:tc>
          <w:tcPr>
            <w:tcW w:w="1600" w:type="dxa"/>
          </w:tcPr>
          <w:p w14:paraId="251E779F"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164.00±44.00</w:t>
            </w:r>
          </w:p>
        </w:tc>
        <w:tc>
          <w:tcPr>
            <w:tcW w:w="1600" w:type="dxa"/>
          </w:tcPr>
          <w:p w14:paraId="1CDFE2D5"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118.00±28.90</w:t>
            </w:r>
          </w:p>
        </w:tc>
        <w:tc>
          <w:tcPr>
            <w:tcW w:w="900" w:type="dxa"/>
          </w:tcPr>
          <w:p w14:paraId="540DD793"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24.73</w:t>
            </w:r>
          </w:p>
        </w:tc>
        <w:tc>
          <w:tcPr>
            <w:tcW w:w="900" w:type="dxa"/>
          </w:tcPr>
          <w:p w14:paraId="32140635"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67.11</w:t>
            </w:r>
          </w:p>
        </w:tc>
        <w:tc>
          <w:tcPr>
            <w:tcW w:w="1026" w:type="dxa"/>
          </w:tcPr>
          <w:p w14:paraId="453EF6FF"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4.36</w:t>
            </w:r>
          </w:p>
        </w:tc>
        <w:tc>
          <w:tcPr>
            <w:tcW w:w="800" w:type="dxa"/>
          </w:tcPr>
          <w:p w14:paraId="1B966304" w14:textId="6C538F4D" w:rsidR="00BB4CF6" w:rsidRPr="001C5C41" w:rsidRDefault="00000000" w:rsidP="00C017E6">
            <w:pPr>
              <w:snapToGrid w:val="0"/>
              <w:jc w:val="center"/>
              <w:rPr>
                <w:rFonts w:cs="Times New Roman"/>
                <w:color w:val="000000" w:themeColor="text1"/>
              </w:rPr>
            </w:pPr>
            <w:r w:rsidRPr="001C5C41">
              <w:rPr>
                <w:rFonts w:cs="Times New Roman"/>
                <w:color w:val="000000" w:themeColor="text1"/>
              </w:rPr>
              <w:t>.001*</w:t>
            </w:r>
          </w:p>
        </w:tc>
      </w:tr>
      <w:tr w:rsidR="001C5C41" w:rsidRPr="001C5C41" w14:paraId="16F1C47E" w14:textId="77777777" w:rsidTr="00C017E6">
        <w:trPr>
          <w:jc w:val="center"/>
        </w:trPr>
        <w:tc>
          <w:tcPr>
            <w:tcW w:w="2200" w:type="dxa"/>
          </w:tcPr>
          <w:p w14:paraId="75721363"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lastRenderedPageBreak/>
              <w:t>Movement Fluency (s)</w:t>
            </w:r>
          </w:p>
        </w:tc>
        <w:tc>
          <w:tcPr>
            <w:tcW w:w="1600" w:type="dxa"/>
          </w:tcPr>
          <w:p w14:paraId="345EC4F6"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21.08±1.56</w:t>
            </w:r>
          </w:p>
        </w:tc>
        <w:tc>
          <w:tcPr>
            <w:tcW w:w="1600" w:type="dxa"/>
          </w:tcPr>
          <w:p w14:paraId="32B6DEEB"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24.04±1.34</w:t>
            </w:r>
          </w:p>
        </w:tc>
        <w:tc>
          <w:tcPr>
            <w:tcW w:w="900" w:type="dxa"/>
          </w:tcPr>
          <w:p w14:paraId="2C92B723"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-3.88</w:t>
            </w:r>
          </w:p>
        </w:tc>
        <w:tc>
          <w:tcPr>
            <w:tcW w:w="900" w:type="dxa"/>
          </w:tcPr>
          <w:p w14:paraId="1388846C"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-2.04</w:t>
            </w:r>
          </w:p>
        </w:tc>
        <w:tc>
          <w:tcPr>
            <w:tcW w:w="1026" w:type="dxa"/>
          </w:tcPr>
          <w:p w14:paraId="774CDA61"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-7.28</w:t>
            </w:r>
          </w:p>
        </w:tc>
        <w:tc>
          <w:tcPr>
            <w:tcW w:w="800" w:type="dxa"/>
          </w:tcPr>
          <w:p w14:paraId="5A62AF73" w14:textId="5CAD7E13" w:rsidR="00BB4CF6" w:rsidRPr="001C5C41" w:rsidRDefault="00000000" w:rsidP="00C017E6">
            <w:pPr>
              <w:snapToGrid w:val="0"/>
              <w:jc w:val="center"/>
              <w:rPr>
                <w:rFonts w:cs="Times New Roman"/>
                <w:color w:val="000000" w:themeColor="text1"/>
              </w:rPr>
            </w:pPr>
            <w:r w:rsidRPr="001C5C41">
              <w:rPr>
                <w:rFonts w:cs="Times New Roman"/>
                <w:color w:val="000000" w:themeColor="text1"/>
              </w:rPr>
              <w:t>.001*</w:t>
            </w:r>
          </w:p>
        </w:tc>
      </w:tr>
    </w:tbl>
    <w:p w14:paraId="540BD6F6" w14:textId="77777777" w:rsidR="00BB4CF6" w:rsidRDefault="00000000" w:rsidP="00AF34E3">
      <w:pPr>
        <w:snapToGrid w:val="0"/>
        <w:jc w:val="thaiDistribute"/>
        <w:rPr>
          <w:rFonts w:cs="Times New Roman"/>
          <w:color w:val="000000" w:themeColor="text1"/>
        </w:rPr>
      </w:pPr>
      <w:r w:rsidRPr="00C017E6">
        <w:rPr>
          <w:rFonts w:cs="Times New Roman"/>
          <w:color w:val="000000" w:themeColor="text1"/>
        </w:rPr>
        <w:t>Note. *p &lt; .05. Lower movement fluency scores indicate faster (better) performance. Cohen’s d: small ≥ 0.20, medium ≥ 0.50, large ≥ 0.80.</w:t>
      </w:r>
    </w:p>
    <w:p w14:paraId="02833942" w14:textId="77777777" w:rsidR="00C017E6" w:rsidRPr="00C017E6" w:rsidRDefault="00C017E6" w:rsidP="00AF34E3">
      <w:pPr>
        <w:snapToGrid w:val="0"/>
        <w:jc w:val="thaiDistribute"/>
        <w:rPr>
          <w:rFonts w:cs="Times New Roman"/>
          <w:color w:val="000000" w:themeColor="text1"/>
        </w:rPr>
      </w:pPr>
    </w:p>
    <w:p w14:paraId="6B4EC30A" w14:textId="5CB6C56D" w:rsidR="00CD3EA4" w:rsidRPr="001C5C41" w:rsidRDefault="00CD3EA4" w:rsidP="00C017E6">
      <w:pPr>
        <w:snapToGrid w:val="0"/>
        <w:ind w:firstLine="567"/>
        <w:jc w:val="thaiDistribute"/>
        <w:rPr>
          <w:rFonts w:cs="Times New Roman"/>
          <w:color w:val="000000" w:themeColor="text1"/>
        </w:rPr>
      </w:pPr>
      <w:r w:rsidRPr="001C5C41">
        <w:rPr>
          <w:rFonts w:cs="Times New Roman"/>
          <w:color w:val="000000" w:themeColor="text1"/>
        </w:rPr>
        <w:t>From table 4: Post-test comparisons demonstrated statistically significant advantages for the experimental group on all three outcome variables (Table 4). Aerobic capacity was significantly higher in the experimental group (47.30 ± 3.80 vs. 44.70 ± 3.40 mL·kg⁻¹·min⁻¹; t = 2.76, *p = .008). Core strength was substantially superior (164.00 ± 44.00 vs. 118.00 ± 28.90 s; t = 4.36, *p &lt; .001). Movement fluency was significantly faster in the experimental group (21.08 ± 1.56 vs. 24.04 ± 1.34 s; t = −7.28, *p &lt; .001).</w:t>
      </w:r>
    </w:p>
    <w:p w14:paraId="65427641" w14:textId="479D34BE" w:rsidR="00BB4CF6" w:rsidRPr="001C5C41" w:rsidRDefault="00BB4CF6" w:rsidP="00AF34E3">
      <w:pPr>
        <w:snapToGrid w:val="0"/>
        <w:jc w:val="thaiDistribute"/>
        <w:rPr>
          <w:rFonts w:cs="Times New Roman"/>
          <w:color w:val="000000" w:themeColor="text1"/>
        </w:rPr>
      </w:pPr>
    </w:p>
    <w:p w14:paraId="00E6507A" w14:textId="3BF5EF87" w:rsidR="00BB4CF6" w:rsidRPr="00C017E6" w:rsidRDefault="00000000" w:rsidP="00AF34E3">
      <w:pPr>
        <w:snapToGrid w:val="0"/>
        <w:jc w:val="thaiDistribute"/>
        <w:rPr>
          <w:rFonts w:cs="Times New Roman"/>
          <w:color w:val="000000" w:themeColor="text1"/>
        </w:rPr>
      </w:pPr>
      <w:r w:rsidRPr="001C5C41">
        <w:rPr>
          <w:rFonts w:cs="Times New Roman"/>
          <w:b/>
          <w:bCs/>
          <w:color w:val="000000" w:themeColor="text1"/>
        </w:rPr>
        <w:t>Table 5</w:t>
      </w:r>
      <w:r w:rsidR="00C017E6">
        <w:rPr>
          <w:rFonts w:cs="Times New Roman"/>
          <w:b/>
          <w:bCs/>
          <w:color w:val="000000" w:themeColor="text1"/>
        </w:rPr>
        <w:t xml:space="preserve"> </w:t>
      </w:r>
      <w:r w:rsidRPr="00C017E6">
        <w:rPr>
          <w:rFonts w:cs="Times New Roman"/>
          <w:color w:val="000000" w:themeColor="text1"/>
        </w:rPr>
        <w:t>Repeated-Measures ANOVA with Partial Eta Squared: Within-Group Longitudinal Changes (Experimental Group)</w:t>
      </w:r>
    </w:p>
    <w:tbl>
      <w:tblPr>
        <w:tblStyle w:val="TableGrid"/>
        <w:tblW w:w="9026" w:type="dxa"/>
        <w:jc w:val="center"/>
        <w:tblLook w:val="0000" w:firstRow="0" w:lastRow="0" w:firstColumn="0" w:lastColumn="0" w:noHBand="0" w:noVBand="0"/>
      </w:tblPr>
      <w:tblGrid>
        <w:gridCol w:w="2013"/>
        <w:gridCol w:w="1428"/>
        <w:gridCol w:w="1548"/>
        <w:gridCol w:w="1548"/>
        <w:gridCol w:w="819"/>
        <w:gridCol w:w="775"/>
        <w:gridCol w:w="895"/>
      </w:tblGrid>
      <w:tr w:rsidR="001C5C41" w:rsidRPr="001C5C41" w14:paraId="006E07E9" w14:textId="77777777" w:rsidTr="00C017E6">
        <w:trPr>
          <w:jc w:val="center"/>
        </w:trPr>
        <w:tc>
          <w:tcPr>
            <w:tcW w:w="2400" w:type="dxa"/>
          </w:tcPr>
          <w:p w14:paraId="1EAA1923"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Variable</w:t>
            </w:r>
          </w:p>
        </w:tc>
        <w:tc>
          <w:tcPr>
            <w:tcW w:w="1200" w:type="dxa"/>
          </w:tcPr>
          <w:p w14:paraId="7E930BC2"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Pre-test (M±SD)</w:t>
            </w:r>
          </w:p>
        </w:tc>
        <w:tc>
          <w:tcPr>
            <w:tcW w:w="1200" w:type="dxa"/>
          </w:tcPr>
          <w:p w14:paraId="6A371815"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Mid-test (M±SD)</w:t>
            </w:r>
          </w:p>
        </w:tc>
        <w:tc>
          <w:tcPr>
            <w:tcW w:w="1200" w:type="dxa"/>
          </w:tcPr>
          <w:p w14:paraId="5EA3D6C9"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Post-test (M±SD)</w:t>
            </w:r>
          </w:p>
        </w:tc>
        <w:tc>
          <w:tcPr>
            <w:tcW w:w="900" w:type="dxa"/>
          </w:tcPr>
          <w:p w14:paraId="4E73D235"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F</w:t>
            </w:r>
          </w:p>
        </w:tc>
        <w:tc>
          <w:tcPr>
            <w:tcW w:w="800" w:type="dxa"/>
          </w:tcPr>
          <w:p w14:paraId="4C541864"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p</w:t>
            </w:r>
          </w:p>
        </w:tc>
        <w:tc>
          <w:tcPr>
            <w:tcW w:w="1326" w:type="dxa"/>
          </w:tcPr>
          <w:p w14:paraId="513885B3" w14:textId="77777777" w:rsidR="00BB4CF6" w:rsidRPr="001C5C41" w:rsidRDefault="00000000" w:rsidP="00C017E6">
            <w:pPr>
              <w:snapToGrid w:val="0"/>
              <w:jc w:val="center"/>
              <w:rPr>
                <w:rFonts w:cs="Times New Roman"/>
                <w:color w:val="000000" w:themeColor="text1"/>
              </w:rPr>
            </w:pPr>
            <w:r w:rsidRPr="001C5C41">
              <w:rPr>
                <w:rFonts w:cs="Times New Roman"/>
                <w:b/>
                <w:bCs/>
                <w:color w:val="000000" w:themeColor="text1"/>
              </w:rPr>
              <w:t>ηp²</w:t>
            </w:r>
          </w:p>
        </w:tc>
      </w:tr>
      <w:tr w:rsidR="001C5C41" w:rsidRPr="001C5C41" w14:paraId="52DD6FA5" w14:textId="77777777" w:rsidTr="00C017E6">
        <w:trPr>
          <w:jc w:val="center"/>
        </w:trPr>
        <w:tc>
          <w:tcPr>
            <w:tcW w:w="2400" w:type="dxa"/>
          </w:tcPr>
          <w:p w14:paraId="18322DFE"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Aerobic Capacity (ml·kg⁻¹·min⁻¹)</w:t>
            </w:r>
          </w:p>
        </w:tc>
        <w:tc>
          <w:tcPr>
            <w:tcW w:w="1200" w:type="dxa"/>
          </w:tcPr>
          <w:p w14:paraId="581B3387"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43.90±3.80</w:t>
            </w:r>
          </w:p>
        </w:tc>
        <w:tc>
          <w:tcPr>
            <w:tcW w:w="1200" w:type="dxa"/>
          </w:tcPr>
          <w:p w14:paraId="2694A79C"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45.60±3.80</w:t>
            </w:r>
          </w:p>
        </w:tc>
        <w:tc>
          <w:tcPr>
            <w:tcW w:w="1200" w:type="dxa"/>
          </w:tcPr>
          <w:p w14:paraId="2FEEDA93"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47.30±3.80</w:t>
            </w:r>
          </w:p>
        </w:tc>
        <w:tc>
          <w:tcPr>
            <w:tcW w:w="900" w:type="dxa"/>
          </w:tcPr>
          <w:p w14:paraId="7943F724"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35.20</w:t>
            </w:r>
          </w:p>
        </w:tc>
        <w:tc>
          <w:tcPr>
            <w:tcW w:w="800" w:type="dxa"/>
          </w:tcPr>
          <w:p w14:paraId="3F6D13B1" w14:textId="06CA778C" w:rsidR="00BB4CF6" w:rsidRPr="001C5C41" w:rsidRDefault="00000000" w:rsidP="00C017E6">
            <w:pPr>
              <w:snapToGrid w:val="0"/>
              <w:jc w:val="center"/>
              <w:rPr>
                <w:rFonts w:cs="Times New Roman"/>
                <w:color w:val="000000" w:themeColor="text1"/>
              </w:rPr>
            </w:pPr>
            <w:r w:rsidRPr="001C5C41">
              <w:rPr>
                <w:rFonts w:cs="Times New Roman"/>
                <w:color w:val="000000" w:themeColor="text1"/>
              </w:rPr>
              <w:t>.001*</w:t>
            </w:r>
          </w:p>
        </w:tc>
        <w:tc>
          <w:tcPr>
            <w:tcW w:w="1326" w:type="dxa"/>
          </w:tcPr>
          <w:p w14:paraId="569951A1"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.75</w:t>
            </w:r>
          </w:p>
        </w:tc>
      </w:tr>
      <w:tr w:rsidR="001C5C41" w:rsidRPr="001C5C41" w14:paraId="02F343D1" w14:textId="77777777" w:rsidTr="00C017E6">
        <w:trPr>
          <w:jc w:val="center"/>
        </w:trPr>
        <w:tc>
          <w:tcPr>
            <w:tcW w:w="2400" w:type="dxa"/>
          </w:tcPr>
          <w:p w14:paraId="1410E4D6"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Core Strength (s)</w:t>
            </w:r>
          </w:p>
        </w:tc>
        <w:tc>
          <w:tcPr>
            <w:tcW w:w="1200" w:type="dxa"/>
          </w:tcPr>
          <w:p w14:paraId="67279BB0"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90.60±24.30</w:t>
            </w:r>
          </w:p>
        </w:tc>
        <w:tc>
          <w:tcPr>
            <w:tcW w:w="1200" w:type="dxa"/>
          </w:tcPr>
          <w:p w14:paraId="758CA6BF"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125.40±33.40</w:t>
            </w:r>
          </w:p>
        </w:tc>
        <w:tc>
          <w:tcPr>
            <w:tcW w:w="1200" w:type="dxa"/>
          </w:tcPr>
          <w:p w14:paraId="2FE5D83C"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164.00±44.00</w:t>
            </w:r>
          </w:p>
        </w:tc>
        <w:tc>
          <w:tcPr>
            <w:tcW w:w="900" w:type="dxa"/>
          </w:tcPr>
          <w:p w14:paraId="1FA55063"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52.41</w:t>
            </w:r>
          </w:p>
        </w:tc>
        <w:tc>
          <w:tcPr>
            <w:tcW w:w="800" w:type="dxa"/>
          </w:tcPr>
          <w:p w14:paraId="2409B098" w14:textId="2058E4C4" w:rsidR="00BB4CF6" w:rsidRPr="001C5C41" w:rsidRDefault="00000000" w:rsidP="00C017E6">
            <w:pPr>
              <w:snapToGrid w:val="0"/>
              <w:jc w:val="center"/>
              <w:rPr>
                <w:rFonts w:cs="Times New Roman"/>
                <w:color w:val="000000" w:themeColor="text1"/>
              </w:rPr>
            </w:pPr>
            <w:r w:rsidRPr="001C5C41">
              <w:rPr>
                <w:rFonts w:cs="Times New Roman"/>
                <w:color w:val="000000" w:themeColor="text1"/>
              </w:rPr>
              <w:t>.001*</w:t>
            </w:r>
          </w:p>
        </w:tc>
        <w:tc>
          <w:tcPr>
            <w:tcW w:w="1326" w:type="dxa"/>
          </w:tcPr>
          <w:p w14:paraId="22C88DC3"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.82</w:t>
            </w:r>
          </w:p>
        </w:tc>
      </w:tr>
      <w:tr w:rsidR="001C5C41" w:rsidRPr="001C5C41" w14:paraId="46F1083B" w14:textId="77777777" w:rsidTr="00C017E6">
        <w:trPr>
          <w:jc w:val="center"/>
        </w:trPr>
        <w:tc>
          <w:tcPr>
            <w:tcW w:w="2400" w:type="dxa"/>
          </w:tcPr>
          <w:p w14:paraId="497D5176"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Movement Fluency (s)</w:t>
            </w:r>
          </w:p>
        </w:tc>
        <w:tc>
          <w:tcPr>
            <w:tcW w:w="1200" w:type="dxa"/>
          </w:tcPr>
          <w:p w14:paraId="67AAFFF9"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27.92±1.56</w:t>
            </w:r>
          </w:p>
        </w:tc>
        <w:tc>
          <w:tcPr>
            <w:tcW w:w="1200" w:type="dxa"/>
          </w:tcPr>
          <w:p w14:paraId="262AD7B7"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23.12±1.41</w:t>
            </w:r>
          </w:p>
        </w:tc>
        <w:tc>
          <w:tcPr>
            <w:tcW w:w="1200" w:type="dxa"/>
          </w:tcPr>
          <w:p w14:paraId="54A23C4E"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21.08±1.56</w:t>
            </w:r>
          </w:p>
        </w:tc>
        <w:tc>
          <w:tcPr>
            <w:tcW w:w="900" w:type="dxa"/>
          </w:tcPr>
          <w:p w14:paraId="6EF05858"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98.34</w:t>
            </w:r>
          </w:p>
        </w:tc>
        <w:tc>
          <w:tcPr>
            <w:tcW w:w="800" w:type="dxa"/>
          </w:tcPr>
          <w:p w14:paraId="157A2A46" w14:textId="0D4D01CE" w:rsidR="00BB4CF6" w:rsidRPr="001C5C41" w:rsidRDefault="00000000" w:rsidP="00C017E6">
            <w:pPr>
              <w:snapToGrid w:val="0"/>
              <w:jc w:val="center"/>
              <w:rPr>
                <w:rFonts w:cs="Times New Roman"/>
                <w:color w:val="000000" w:themeColor="text1"/>
              </w:rPr>
            </w:pPr>
            <w:r w:rsidRPr="001C5C41">
              <w:rPr>
                <w:rFonts w:cs="Times New Roman"/>
                <w:color w:val="000000" w:themeColor="text1"/>
              </w:rPr>
              <w:t>.001*</w:t>
            </w:r>
          </w:p>
        </w:tc>
        <w:tc>
          <w:tcPr>
            <w:tcW w:w="1326" w:type="dxa"/>
          </w:tcPr>
          <w:p w14:paraId="0AB46E1D" w14:textId="77777777" w:rsidR="00BB4CF6" w:rsidRPr="001C5C41" w:rsidRDefault="00000000" w:rsidP="00C017E6">
            <w:pPr>
              <w:snapToGrid w:val="0"/>
              <w:jc w:val="center"/>
              <w:rPr>
                <w:rFonts w:cs="Times New Roman"/>
                <w:color w:val="000000" w:themeColor="text1"/>
              </w:rPr>
            </w:pPr>
            <w:r w:rsidRPr="001C5C41">
              <w:rPr>
                <w:rFonts w:cs="Times New Roman"/>
                <w:color w:val="000000" w:themeColor="text1"/>
              </w:rPr>
              <w:t>.89</w:t>
            </w:r>
          </w:p>
        </w:tc>
      </w:tr>
    </w:tbl>
    <w:p w14:paraId="27D59408" w14:textId="21EAF102" w:rsidR="00BB4CF6" w:rsidRPr="00C017E6" w:rsidRDefault="00000000" w:rsidP="00AF34E3">
      <w:pPr>
        <w:snapToGrid w:val="0"/>
        <w:jc w:val="thaiDistribute"/>
        <w:rPr>
          <w:rFonts w:cs="Times New Roman"/>
          <w:color w:val="000000" w:themeColor="text1"/>
        </w:rPr>
      </w:pPr>
      <w:r w:rsidRPr="00C017E6">
        <w:rPr>
          <w:rFonts w:cs="Times New Roman"/>
          <w:color w:val="000000" w:themeColor="text1"/>
        </w:rPr>
        <w:t>Note. *p &lt; .05. ηp² = partial eta squared (small ≥ .01, medium ≥ .06, large ≥ .14). Movement fluency: lower values = faster performance.</w:t>
      </w:r>
    </w:p>
    <w:p w14:paraId="73B98604" w14:textId="77777777" w:rsidR="00C017E6" w:rsidRDefault="00C017E6" w:rsidP="00AF34E3">
      <w:pPr>
        <w:snapToGrid w:val="0"/>
        <w:ind w:firstLine="720"/>
        <w:jc w:val="thaiDistribute"/>
        <w:rPr>
          <w:rFonts w:cs="Times New Roman"/>
          <w:color w:val="000000" w:themeColor="text1"/>
        </w:rPr>
      </w:pPr>
    </w:p>
    <w:p w14:paraId="7C6EEC4E" w14:textId="400750F4" w:rsidR="00CD3EA4" w:rsidRPr="001C5C41" w:rsidRDefault="00CD3EA4" w:rsidP="00AF34E3">
      <w:pPr>
        <w:snapToGrid w:val="0"/>
        <w:ind w:firstLine="720"/>
        <w:jc w:val="thaiDistribute"/>
        <w:rPr>
          <w:rFonts w:cs="Times New Roman"/>
          <w:color w:val="000000" w:themeColor="text1"/>
        </w:rPr>
      </w:pPr>
      <w:r w:rsidRPr="001C5C41">
        <w:rPr>
          <w:rFonts w:cs="Times New Roman"/>
          <w:color w:val="000000" w:themeColor="text1"/>
        </w:rPr>
        <w:t>From table 5: One-way repeated-measures ANOVA within the experimental group confirmed significant progressive improvements across all three time points for every outcome variable (Table 5), with large partial eta squared effect sizes (ηp² = .75–.89). Aerobic capacity increased from 43.90 ± 3.80 at pre-test to 47.30 ± 3.80 mL·kg⁻¹·min⁻¹ at post-test (F = 35.20, *p &lt; .001, ηp² = .75). Core strength rose from 90.60 ± 24.30 to 164.00 ± 44.00 seconds (F = 52.41, *p &lt; .001, ηp² = .82). Movement fluency completion time decreased by 24.5%, from 27.92 ± 1.56 to 21.08 ± 1.56 seconds (F = 98.34, *p &lt; .001, ηp² = .89).</w:t>
      </w:r>
    </w:p>
    <w:p w14:paraId="32EBFBC6" w14:textId="77777777" w:rsidR="00BB4CF6" w:rsidRPr="001C5C41" w:rsidRDefault="00BB4CF6" w:rsidP="00AF34E3">
      <w:pPr>
        <w:snapToGrid w:val="0"/>
        <w:jc w:val="thaiDistribute"/>
        <w:rPr>
          <w:rFonts w:cs="Times New Roman"/>
          <w:color w:val="000000" w:themeColor="text1"/>
        </w:rPr>
      </w:pPr>
    </w:p>
    <w:p w14:paraId="2226B705" w14:textId="2F573E71" w:rsidR="00BB4CF6" w:rsidRPr="00C017E6" w:rsidRDefault="00000000" w:rsidP="00AF34E3">
      <w:pPr>
        <w:snapToGrid w:val="0"/>
        <w:jc w:val="thaiDistribute"/>
        <w:rPr>
          <w:rFonts w:cs="Times New Roman"/>
          <w:color w:val="000000" w:themeColor="text1"/>
        </w:rPr>
      </w:pPr>
      <w:r w:rsidRPr="001C5C41">
        <w:rPr>
          <w:rFonts w:cs="Times New Roman"/>
          <w:b/>
          <w:bCs/>
          <w:color w:val="000000" w:themeColor="text1"/>
        </w:rPr>
        <w:t xml:space="preserve">Table </w:t>
      </w:r>
      <w:r w:rsidR="00CD3EA4" w:rsidRPr="001C5C41">
        <w:rPr>
          <w:rFonts w:cs="Times New Roman"/>
          <w:b/>
          <w:bCs/>
          <w:color w:val="000000" w:themeColor="text1"/>
        </w:rPr>
        <w:t>6</w:t>
      </w:r>
      <w:r w:rsidRPr="001C5C41">
        <w:rPr>
          <w:rFonts w:cs="Times New Roman"/>
          <w:b/>
          <w:bCs/>
          <w:color w:val="000000" w:themeColor="text1"/>
        </w:rPr>
        <w:t xml:space="preserve"> </w:t>
      </w:r>
      <w:r w:rsidRPr="00C017E6">
        <w:rPr>
          <w:rFonts w:cs="Times New Roman"/>
          <w:color w:val="000000" w:themeColor="text1"/>
        </w:rPr>
        <w:t>Bonferroni Post Hoc Pairwise Comparisons Within the Experimental Group</w:t>
      </w:r>
    </w:p>
    <w:tbl>
      <w:tblPr>
        <w:tblStyle w:val="TableGrid"/>
        <w:tblW w:w="8926" w:type="dxa"/>
        <w:jc w:val="center"/>
        <w:tblLook w:val="0000" w:firstRow="0" w:lastRow="0" w:firstColumn="0" w:lastColumn="0" w:noHBand="0" w:noVBand="0"/>
      </w:tblPr>
      <w:tblGrid>
        <w:gridCol w:w="1796"/>
        <w:gridCol w:w="1483"/>
        <w:gridCol w:w="1837"/>
        <w:gridCol w:w="849"/>
        <w:gridCol w:w="706"/>
        <w:gridCol w:w="989"/>
        <w:gridCol w:w="1266"/>
      </w:tblGrid>
      <w:tr w:rsidR="001C5C41" w:rsidRPr="001C5C41" w14:paraId="3F528721" w14:textId="77777777" w:rsidTr="00C017E6">
        <w:trPr>
          <w:jc w:val="center"/>
        </w:trPr>
        <w:tc>
          <w:tcPr>
            <w:tcW w:w="1797" w:type="dxa"/>
          </w:tcPr>
          <w:p w14:paraId="4247F75C" w14:textId="77777777" w:rsidR="00CD3EA4" w:rsidRPr="001C5C41" w:rsidRDefault="00CD3EA4" w:rsidP="00C017E6">
            <w:pPr>
              <w:snapToGrid w:val="0"/>
              <w:jc w:val="center"/>
              <w:rPr>
                <w:rFonts w:cs="Times New Roman"/>
                <w:color w:val="000000" w:themeColor="text1"/>
              </w:rPr>
            </w:pPr>
            <w:r w:rsidRPr="001C5C41">
              <w:rPr>
                <w:rFonts w:cs="Times New Roman"/>
                <w:b/>
                <w:bCs/>
                <w:color w:val="000000" w:themeColor="text1"/>
              </w:rPr>
              <w:t>Variable</w:t>
            </w:r>
          </w:p>
        </w:tc>
        <w:tc>
          <w:tcPr>
            <w:tcW w:w="1423" w:type="dxa"/>
          </w:tcPr>
          <w:p w14:paraId="5DE95545" w14:textId="77777777" w:rsidR="00CD3EA4" w:rsidRPr="001C5C41" w:rsidRDefault="00CD3EA4" w:rsidP="00C017E6">
            <w:pPr>
              <w:snapToGrid w:val="0"/>
              <w:jc w:val="center"/>
              <w:rPr>
                <w:rFonts w:cs="Times New Roman"/>
                <w:color w:val="000000" w:themeColor="text1"/>
              </w:rPr>
            </w:pPr>
            <w:r w:rsidRPr="001C5C41">
              <w:rPr>
                <w:rFonts w:cs="Times New Roman"/>
                <w:b/>
                <w:bCs/>
                <w:color w:val="000000" w:themeColor="text1"/>
              </w:rPr>
              <w:t>Comparison</w:t>
            </w:r>
          </w:p>
        </w:tc>
        <w:tc>
          <w:tcPr>
            <w:tcW w:w="1878" w:type="dxa"/>
          </w:tcPr>
          <w:p w14:paraId="5B791188" w14:textId="77777777" w:rsidR="00CD3EA4" w:rsidRPr="001C5C41" w:rsidRDefault="00CD3EA4" w:rsidP="00C017E6">
            <w:pPr>
              <w:snapToGrid w:val="0"/>
              <w:jc w:val="center"/>
              <w:rPr>
                <w:rFonts w:cs="Times New Roman"/>
                <w:color w:val="000000" w:themeColor="text1"/>
              </w:rPr>
            </w:pPr>
            <w:r w:rsidRPr="001C5C41">
              <w:rPr>
                <w:rFonts w:cs="Times New Roman"/>
                <w:b/>
                <w:bCs/>
                <w:color w:val="000000" w:themeColor="text1"/>
              </w:rPr>
              <w:t>Mᵢ vs. Mᵣ</w:t>
            </w:r>
          </w:p>
        </w:tc>
        <w:tc>
          <w:tcPr>
            <w:tcW w:w="851" w:type="dxa"/>
          </w:tcPr>
          <w:p w14:paraId="4EA26399" w14:textId="77777777" w:rsidR="00CD3EA4" w:rsidRPr="001C5C41" w:rsidRDefault="00CD3EA4" w:rsidP="00C017E6">
            <w:pPr>
              <w:snapToGrid w:val="0"/>
              <w:jc w:val="center"/>
              <w:rPr>
                <w:rFonts w:cs="Times New Roman"/>
                <w:color w:val="000000" w:themeColor="text1"/>
              </w:rPr>
            </w:pPr>
            <w:r w:rsidRPr="001C5C41">
              <w:rPr>
                <w:rFonts w:cs="Times New Roman"/>
                <w:b/>
                <w:bCs/>
                <w:color w:val="000000" w:themeColor="text1"/>
              </w:rPr>
              <w:t>Mean Diff.</w:t>
            </w:r>
          </w:p>
        </w:tc>
        <w:tc>
          <w:tcPr>
            <w:tcW w:w="709" w:type="dxa"/>
          </w:tcPr>
          <w:p w14:paraId="46D3D294" w14:textId="77777777" w:rsidR="00CD3EA4" w:rsidRPr="001C5C41" w:rsidRDefault="00CD3EA4" w:rsidP="00C017E6">
            <w:pPr>
              <w:snapToGrid w:val="0"/>
              <w:jc w:val="center"/>
              <w:rPr>
                <w:rFonts w:cs="Times New Roman"/>
                <w:color w:val="000000" w:themeColor="text1"/>
              </w:rPr>
            </w:pPr>
            <w:r w:rsidRPr="001C5C41">
              <w:rPr>
                <w:rFonts w:cs="Times New Roman"/>
                <w:b/>
                <w:bCs/>
                <w:color w:val="000000" w:themeColor="text1"/>
              </w:rPr>
              <w:t>SE</w:t>
            </w:r>
          </w:p>
        </w:tc>
        <w:tc>
          <w:tcPr>
            <w:tcW w:w="992" w:type="dxa"/>
          </w:tcPr>
          <w:p w14:paraId="4742441E" w14:textId="77777777" w:rsidR="00CD3EA4" w:rsidRPr="001C5C41" w:rsidRDefault="00CD3EA4" w:rsidP="00C017E6">
            <w:pPr>
              <w:snapToGrid w:val="0"/>
              <w:jc w:val="center"/>
              <w:rPr>
                <w:rFonts w:cs="Times New Roman"/>
                <w:color w:val="000000" w:themeColor="text1"/>
              </w:rPr>
            </w:pPr>
            <w:r w:rsidRPr="001C5C41">
              <w:rPr>
                <w:rFonts w:cs="Times New Roman"/>
                <w:b/>
                <w:bCs/>
                <w:color w:val="000000" w:themeColor="text1"/>
              </w:rPr>
              <w:t>p (Bonf.)</w:t>
            </w:r>
          </w:p>
        </w:tc>
        <w:tc>
          <w:tcPr>
            <w:tcW w:w="1276" w:type="dxa"/>
          </w:tcPr>
          <w:p w14:paraId="543C1042" w14:textId="77777777" w:rsidR="00CD3EA4" w:rsidRPr="001C5C41" w:rsidRDefault="00CD3EA4" w:rsidP="00C017E6">
            <w:pPr>
              <w:snapToGrid w:val="0"/>
              <w:jc w:val="center"/>
              <w:rPr>
                <w:rFonts w:cs="Times New Roman"/>
                <w:color w:val="000000" w:themeColor="text1"/>
              </w:rPr>
            </w:pPr>
            <w:r w:rsidRPr="001C5C41">
              <w:rPr>
                <w:rFonts w:cs="Times New Roman"/>
                <w:b/>
                <w:bCs/>
                <w:color w:val="000000" w:themeColor="text1"/>
              </w:rPr>
              <w:t>Cohen's d</w:t>
            </w:r>
          </w:p>
        </w:tc>
      </w:tr>
      <w:tr w:rsidR="001C5C41" w:rsidRPr="001C5C41" w14:paraId="1D3DCEEC" w14:textId="77777777" w:rsidTr="00C017E6">
        <w:trPr>
          <w:jc w:val="center"/>
        </w:trPr>
        <w:tc>
          <w:tcPr>
            <w:tcW w:w="1797" w:type="dxa"/>
            <w:vMerge w:val="restart"/>
          </w:tcPr>
          <w:p w14:paraId="5C16DCD2" w14:textId="77777777" w:rsidR="00CD3EA4" w:rsidRPr="001C5C41" w:rsidRDefault="00CD3EA4" w:rsidP="00C017E6">
            <w:pPr>
              <w:snapToGrid w:val="0"/>
              <w:jc w:val="center"/>
              <w:rPr>
                <w:rFonts w:cs="Times New Roman"/>
                <w:color w:val="000000" w:themeColor="text1"/>
              </w:rPr>
            </w:pPr>
            <w:r w:rsidRPr="001C5C41">
              <w:rPr>
                <w:rFonts w:cs="Times New Roman"/>
                <w:b/>
                <w:bCs/>
                <w:color w:val="000000" w:themeColor="text1"/>
              </w:rPr>
              <w:t>Aerobic Capacity (ml·kg⁻¹·min⁻¹)</w:t>
            </w:r>
          </w:p>
        </w:tc>
        <w:tc>
          <w:tcPr>
            <w:tcW w:w="1423" w:type="dxa"/>
          </w:tcPr>
          <w:p w14:paraId="74224A57"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Pre vs. Mid</w:t>
            </w:r>
          </w:p>
        </w:tc>
        <w:tc>
          <w:tcPr>
            <w:tcW w:w="1878" w:type="dxa"/>
          </w:tcPr>
          <w:p w14:paraId="628AD494"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43.90 vs. 45.60</w:t>
            </w:r>
          </w:p>
        </w:tc>
        <w:tc>
          <w:tcPr>
            <w:tcW w:w="851" w:type="dxa"/>
          </w:tcPr>
          <w:p w14:paraId="030A1E0B"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-1.72</w:t>
            </w:r>
          </w:p>
        </w:tc>
        <w:tc>
          <w:tcPr>
            <w:tcW w:w="709" w:type="dxa"/>
          </w:tcPr>
          <w:p w14:paraId="362F2B2B"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0.54</w:t>
            </w:r>
          </w:p>
        </w:tc>
        <w:tc>
          <w:tcPr>
            <w:tcW w:w="992" w:type="dxa"/>
          </w:tcPr>
          <w:p w14:paraId="4A97D9AE"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.030*</w:t>
            </w:r>
          </w:p>
        </w:tc>
        <w:tc>
          <w:tcPr>
            <w:tcW w:w="1276" w:type="dxa"/>
          </w:tcPr>
          <w:p w14:paraId="3E86B683"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0.45</w:t>
            </w:r>
          </w:p>
        </w:tc>
      </w:tr>
      <w:tr w:rsidR="001C5C41" w:rsidRPr="001C5C41" w14:paraId="5AFB9B72" w14:textId="77777777" w:rsidTr="00C017E6">
        <w:trPr>
          <w:jc w:val="center"/>
        </w:trPr>
        <w:tc>
          <w:tcPr>
            <w:tcW w:w="1797" w:type="dxa"/>
            <w:vMerge/>
          </w:tcPr>
          <w:p w14:paraId="6737EEA0" w14:textId="77777777" w:rsidR="00CD3EA4" w:rsidRPr="001C5C41" w:rsidRDefault="00CD3EA4" w:rsidP="00C017E6">
            <w:pPr>
              <w:snapToGrid w:val="0"/>
              <w:jc w:val="center"/>
              <w:rPr>
                <w:rFonts w:cs="Times New Roman"/>
                <w:color w:val="000000" w:themeColor="text1"/>
              </w:rPr>
            </w:pPr>
          </w:p>
        </w:tc>
        <w:tc>
          <w:tcPr>
            <w:tcW w:w="1423" w:type="dxa"/>
          </w:tcPr>
          <w:p w14:paraId="67CA677C"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Pre vs. Post</w:t>
            </w:r>
          </w:p>
        </w:tc>
        <w:tc>
          <w:tcPr>
            <w:tcW w:w="1878" w:type="dxa"/>
          </w:tcPr>
          <w:p w14:paraId="5AF0E772"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43.90 vs. 47.30</w:t>
            </w:r>
          </w:p>
        </w:tc>
        <w:tc>
          <w:tcPr>
            <w:tcW w:w="851" w:type="dxa"/>
          </w:tcPr>
          <w:p w14:paraId="66EBF3BA"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-3.44</w:t>
            </w:r>
          </w:p>
        </w:tc>
        <w:tc>
          <w:tcPr>
            <w:tcW w:w="709" w:type="dxa"/>
          </w:tcPr>
          <w:p w14:paraId="04F21551"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0.54</w:t>
            </w:r>
          </w:p>
        </w:tc>
        <w:tc>
          <w:tcPr>
            <w:tcW w:w="992" w:type="dxa"/>
          </w:tcPr>
          <w:p w14:paraId="562889BC"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.001*</w:t>
            </w:r>
          </w:p>
        </w:tc>
        <w:tc>
          <w:tcPr>
            <w:tcW w:w="1276" w:type="dxa"/>
          </w:tcPr>
          <w:p w14:paraId="6C38CBCF"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0.90</w:t>
            </w:r>
          </w:p>
        </w:tc>
      </w:tr>
      <w:tr w:rsidR="001C5C41" w:rsidRPr="001C5C41" w14:paraId="2B2B7D6D" w14:textId="77777777" w:rsidTr="00C017E6">
        <w:trPr>
          <w:jc w:val="center"/>
        </w:trPr>
        <w:tc>
          <w:tcPr>
            <w:tcW w:w="1797" w:type="dxa"/>
            <w:vMerge/>
          </w:tcPr>
          <w:p w14:paraId="01873CFC" w14:textId="77777777" w:rsidR="00CD3EA4" w:rsidRPr="001C5C41" w:rsidRDefault="00CD3EA4" w:rsidP="00C017E6">
            <w:pPr>
              <w:snapToGrid w:val="0"/>
              <w:jc w:val="center"/>
              <w:rPr>
                <w:rFonts w:cs="Times New Roman"/>
                <w:color w:val="000000" w:themeColor="text1"/>
              </w:rPr>
            </w:pPr>
          </w:p>
        </w:tc>
        <w:tc>
          <w:tcPr>
            <w:tcW w:w="1423" w:type="dxa"/>
          </w:tcPr>
          <w:p w14:paraId="3C3B377C"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Mid vs. Post</w:t>
            </w:r>
          </w:p>
        </w:tc>
        <w:tc>
          <w:tcPr>
            <w:tcW w:w="1878" w:type="dxa"/>
          </w:tcPr>
          <w:p w14:paraId="46CC62C5"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45.60 vs. 47.30</w:t>
            </w:r>
          </w:p>
        </w:tc>
        <w:tc>
          <w:tcPr>
            <w:tcW w:w="851" w:type="dxa"/>
          </w:tcPr>
          <w:p w14:paraId="29F5F2E3"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-1.72</w:t>
            </w:r>
          </w:p>
        </w:tc>
        <w:tc>
          <w:tcPr>
            <w:tcW w:w="709" w:type="dxa"/>
          </w:tcPr>
          <w:p w14:paraId="5B73C7B4"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0.54</w:t>
            </w:r>
          </w:p>
        </w:tc>
        <w:tc>
          <w:tcPr>
            <w:tcW w:w="992" w:type="dxa"/>
          </w:tcPr>
          <w:p w14:paraId="03C12B0C"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.030*</w:t>
            </w:r>
          </w:p>
        </w:tc>
        <w:tc>
          <w:tcPr>
            <w:tcW w:w="1276" w:type="dxa"/>
          </w:tcPr>
          <w:p w14:paraId="249D18FE"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0.45</w:t>
            </w:r>
          </w:p>
        </w:tc>
      </w:tr>
      <w:tr w:rsidR="001C5C41" w:rsidRPr="001C5C41" w14:paraId="0AD68389" w14:textId="77777777" w:rsidTr="00C017E6">
        <w:trPr>
          <w:jc w:val="center"/>
        </w:trPr>
        <w:tc>
          <w:tcPr>
            <w:tcW w:w="1797" w:type="dxa"/>
            <w:vMerge w:val="restart"/>
          </w:tcPr>
          <w:p w14:paraId="3E7795F7" w14:textId="77777777" w:rsidR="00CD3EA4" w:rsidRPr="001C5C41" w:rsidRDefault="00CD3EA4" w:rsidP="00C017E6">
            <w:pPr>
              <w:snapToGrid w:val="0"/>
              <w:jc w:val="center"/>
              <w:rPr>
                <w:rFonts w:cs="Times New Roman"/>
                <w:color w:val="000000" w:themeColor="text1"/>
              </w:rPr>
            </w:pPr>
            <w:r w:rsidRPr="001C5C41">
              <w:rPr>
                <w:rFonts w:cs="Times New Roman"/>
                <w:b/>
                <w:bCs/>
                <w:color w:val="000000" w:themeColor="text1"/>
              </w:rPr>
              <w:t>Core Strength (seconds)</w:t>
            </w:r>
          </w:p>
        </w:tc>
        <w:tc>
          <w:tcPr>
            <w:tcW w:w="1423" w:type="dxa"/>
          </w:tcPr>
          <w:p w14:paraId="0CC0F6A1"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Pre vs. Mid</w:t>
            </w:r>
          </w:p>
        </w:tc>
        <w:tc>
          <w:tcPr>
            <w:tcW w:w="1878" w:type="dxa"/>
          </w:tcPr>
          <w:p w14:paraId="61C2466B"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90.60 vs. 125.40</w:t>
            </w:r>
          </w:p>
        </w:tc>
        <w:tc>
          <w:tcPr>
            <w:tcW w:w="851" w:type="dxa"/>
          </w:tcPr>
          <w:p w14:paraId="75145F18"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-34.80</w:t>
            </w:r>
          </w:p>
        </w:tc>
        <w:tc>
          <w:tcPr>
            <w:tcW w:w="709" w:type="dxa"/>
          </w:tcPr>
          <w:p w14:paraId="29910EF6"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4.21</w:t>
            </w:r>
          </w:p>
        </w:tc>
        <w:tc>
          <w:tcPr>
            <w:tcW w:w="992" w:type="dxa"/>
          </w:tcPr>
          <w:p w14:paraId="3CF7B4C8"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&lt;.001*</w:t>
            </w:r>
          </w:p>
        </w:tc>
        <w:tc>
          <w:tcPr>
            <w:tcW w:w="1276" w:type="dxa"/>
          </w:tcPr>
          <w:p w14:paraId="05DF2617"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1.25</w:t>
            </w:r>
          </w:p>
        </w:tc>
      </w:tr>
      <w:tr w:rsidR="001C5C41" w:rsidRPr="001C5C41" w14:paraId="0326C019" w14:textId="77777777" w:rsidTr="00C017E6">
        <w:trPr>
          <w:jc w:val="center"/>
        </w:trPr>
        <w:tc>
          <w:tcPr>
            <w:tcW w:w="1797" w:type="dxa"/>
            <w:vMerge/>
          </w:tcPr>
          <w:p w14:paraId="6280E7AC" w14:textId="77777777" w:rsidR="00CD3EA4" w:rsidRPr="001C5C41" w:rsidRDefault="00CD3EA4" w:rsidP="00C017E6">
            <w:pPr>
              <w:snapToGrid w:val="0"/>
              <w:jc w:val="center"/>
              <w:rPr>
                <w:rFonts w:cs="Times New Roman"/>
                <w:color w:val="000000" w:themeColor="text1"/>
              </w:rPr>
            </w:pPr>
          </w:p>
        </w:tc>
        <w:tc>
          <w:tcPr>
            <w:tcW w:w="1423" w:type="dxa"/>
          </w:tcPr>
          <w:p w14:paraId="0644A793"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Pre vs. Post</w:t>
            </w:r>
          </w:p>
        </w:tc>
        <w:tc>
          <w:tcPr>
            <w:tcW w:w="1878" w:type="dxa"/>
          </w:tcPr>
          <w:p w14:paraId="12DD7012"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90.60 vs. 164.00</w:t>
            </w:r>
          </w:p>
        </w:tc>
        <w:tc>
          <w:tcPr>
            <w:tcW w:w="851" w:type="dxa"/>
          </w:tcPr>
          <w:p w14:paraId="542128D2"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-73.40</w:t>
            </w:r>
          </w:p>
        </w:tc>
        <w:tc>
          <w:tcPr>
            <w:tcW w:w="709" w:type="dxa"/>
          </w:tcPr>
          <w:p w14:paraId="1727E8AB"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6.93</w:t>
            </w:r>
          </w:p>
        </w:tc>
        <w:tc>
          <w:tcPr>
            <w:tcW w:w="992" w:type="dxa"/>
          </w:tcPr>
          <w:p w14:paraId="71159C91"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&lt;.001*</w:t>
            </w:r>
          </w:p>
        </w:tc>
        <w:tc>
          <w:tcPr>
            <w:tcW w:w="1276" w:type="dxa"/>
          </w:tcPr>
          <w:p w14:paraId="65246C92"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2.11</w:t>
            </w:r>
          </w:p>
        </w:tc>
      </w:tr>
      <w:tr w:rsidR="001C5C41" w:rsidRPr="001C5C41" w14:paraId="21DECC2B" w14:textId="77777777" w:rsidTr="00C017E6">
        <w:trPr>
          <w:jc w:val="center"/>
        </w:trPr>
        <w:tc>
          <w:tcPr>
            <w:tcW w:w="1797" w:type="dxa"/>
            <w:vMerge/>
          </w:tcPr>
          <w:p w14:paraId="00A43F4D" w14:textId="77777777" w:rsidR="00CD3EA4" w:rsidRPr="001C5C41" w:rsidRDefault="00CD3EA4" w:rsidP="00C017E6">
            <w:pPr>
              <w:snapToGrid w:val="0"/>
              <w:jc w:val="center"/>
              <w:rPr>
                <w:rFonts w:cs="Times New Roman"/>
                <w:color w:val="000000" w:themeColor="text1"/>
              </w:rPr>
            </w:pPr>
          </w:p>
        </w:tc>
        <w:tc>
          <w:tcPr>
            <w:tcW w:w="1423" w:type="dxa"/>
          </w:tcPr>
          <w:p w14:paraId="381D13A4"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Mid vs. Post</w:t>
            </w:r>
          </w:p>
        </w:tc>
        <w:tc>
          <w:tcPr>
            <w:tcW w:w="1878" w:type="dxa"/>
          </w:tcPr>
          <w:p w14:paraId="4E873A8F"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125.40 vs. 164.00</w:t>
            </w:r>
          </w:p>
        </w:tc>
        <w:tc>
          <w:tcPr>
            <w:tcW w:w="851" w:type="dxa"/>
          </w:tcPr>
          <w:p w14:paraId="34DE71B1"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-38.60</w:t>
            </w:r>
          </w:p>
        </w:tc>
        <w:tc>
          <w:tcPr>
            <w:tcW w:w="709" w:type="dxa"/>
          </w:tcPr>
          <w:p w14:paraId="54BC62CC"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4.89</w:t>
            </w:r>
          </w:p>
        </w:tc>
        <w:tc>
          <w:tcPr>
            <w:tcW w:w="992" w:type="dxa"/>
          </w:tcPr>
          <w:p w14:paraId="5A272198"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&lt;.001*</w:t>
            </w:r>
          </w:p>
        </w:tc>
        <w:tc>
          <w:tcPr>
            <w:tcW w:w="1276" w:type="dxa"/>
          </w:tcPr>
          <w:p w14:paraId="2A40BD3B"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1.02</w:t>
            </w:r>
          </w:p>
        </w:tc>
      </w:tr>
      <w:tr w:rsidR="001C5C41" w:rsidRPr="001C5C41" w14:paraId="203ABCA9" w14:textId="77777777" w:rsidTr="00C017E6">
        <w:trPr>
          <w:jc w:val="center"/>
        </w:trPr>
        <w:tc>
          <w:tcPr>
            <w:tcW w:w="1797" w:type="dxa"/>
            <w:vMerge w:val="restart"/>
          </w:tcPr>
          <w:p w14:paraId="7B4B5E3E" w14:textId="77777777" w:rsidR="00CD3EA4" w:rsidRPr="001C5C41" w:rsidRDefault="00CD3EA4" w:rsidP="00C017E6">
            <w:pPr>
              <w:snapToGrid w:val="0"/>
              <w:jc w:val="center"/>
              <w:rPr>
                <w:rFonts w:cs="Times New Roman"/>
                <w:color w:val="000000" w:themeColor="text1"/>
              </w:rPr>
            </w:pPr>
            <w:r w:rsidRPr="001C5C41">
              <w:rPr>
                <w:rFonts w:cs="Times New Roman"/>
                <w:b/>
                <w:bCs/>
                <w:color w:val="000000" w:themeColor="text1"/>
              </w:rPr>
              <w:t>Movement Fluency (seconds, lower = better)</w:t>
            </w:r>
          </w:p>
        </w:tc>
        <w:tc>
          <w:tcPr>
            <w:tcW w:w="1423" w:type="dxa"/>
          </w:tcPr>
          <w:p w14:paraId="156B5B73"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Pre vs. Mid</w:t>
            </w:r>
          </w:p>
        </w:tc>
        <w:tc>
          <w:tcPr>
            <w:tcW w:w="1878" w:type="dxa"/>
          </w:tcPr>
          <w:p w14:paraId="52A0060B"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27.92 vs. 23.12</w:t>
            </w:r>
          </w:p>
        </w:tc>
        <w:tc>
          <w:tcPr>
            <w:tcW w:w="851" w:type="dxa"/>
          </w:tcPr>
          <w:p w14:paraId="6014C7D5"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4.80</w:t>
            </w:r>
          </w:p>
        </w:tc>
        <w:tc>
          <w:tcPr>
            <w:tcW w:w="709" w:type="dxa"/>
          </w:tcPr>
          <w:p w14:paraId="18432F8A"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0.45</w:t>
            </w:r>
          </w:p>
        </w:tc>
        <w:tc>
          <w:tcPr>
            <w:tcW w:w="992" w:type="dxa"/>
          </w:tcPr>
          <w:p w14:paraId="64838FF5"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&lt;.001*</w:t>
            </w:r>
          </w:p>
        </w:tc>
        <w:tc>
          <w:tcPr>
            <w:tcW w:w="1276" w:type="dxa"/>
          </w:tcPr>
          <w:p w14:paraId="26368724"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-3.18</w:t>
            </w:r>
          </w:p>
        </w:tc>
      </w:tr>
      <w:tr w:rsidR="001C5C41" w:rsidRPr="001C5C41" w14:paraId="5B2C6388" w14:textId="77777777" w:rsidTr="00C017E6">
        <w:trPr>
          <w:jc w:val="center"/>
        </w:trPr>
        <w:tc>
          <w:tcPr>
            <w:tcW w:w="1797" w:type="dxa"/>
            <w:vMerge/>
          </w:tcPr>
          <w:p w14:paraId="086457BF" w14:textId="77777777" w:rsidR="00CD3EA4" w:rsidRPr="001C5C41" w:rsidRDefault="00CD3EA4" w:rsidP="00C017E6">
            <w:pPr>
              <w:snapToGrid w:val="0"/>
              <w:jc w:val="center"/>
              <w:rPr>
                <w:rFonts w:cs="Times New Roman"/>
                <w:color w:val="000000" w:themeColor="text1"/>
              </w:rPr>
            </w:pPr>
          </w:p>
        </w:tc>
        <w:tc>
          <w:tcPr>
            <w:tcW w:w="1423" w:type="dxa"/>
          </w:tcPr>
          <w:p w14:paraId="0C86DE48"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Pre vs. Post</w:t>
            </w:r>
          </w:p>
        </w:tc>
        <w:tc>
          <w:tcPr>
            <w:tcW w:w="1878" w:type="dxa"/>
          </w:tcPr>
          <w:p w14:paraId="2D0A23DC"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27.92 vs. 21.08</w:t>
            </w:r>
          </w:p>
        </w:tc>
        <w:tc>
          <w:tcPr>
            <w:tcW w:w="851" w:type="dxa"/>
          </w:tcPr>
          <w:p w14:paraId="790E6F22"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6.84</w:t>
            </w:r>
          </w:p>
        </w:tc>
        <w:tc>
          <w:tcPr>
            <w:tcW w:w="709" w:type="dxa"/>
          </w:tcPr>
          <w:p w14:paraId="39CA5EBE"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0.50</w:t>
            </w:r>
          </w:p>
        </w:tc>
        <w:tc>
          <w:tcPr>
            <w:tcW w:w="992" w:type="dxa"/>
          </w:tcPr>
          <w:p w14:paraId="23A16E60"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&lt;.001*</w:t>
            </w:r>
          </w:p>
        </w:tc>
        <w:tc>
          <w:tcPr>
            <w:tcW w:w="1276" w:type="dxa"/>
          </w:tcPr>
          <w:p w14:paraId="03141A11"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-4.53</w:t>
            </w:r>
          </w:p>
        </w:tc>
      </w:tr>
      <w:tr w:rsidR="001C5C41" w:rsidRPr="001C5C41" w14:paraId="282A893F" w14:textId="77777777" w:rsidTr="00C017E6">
        <w:trPr>
          <w:jc w:val="center"/>
        </w:trPr>
        <w:tc>
          <w:tcPr>
            <w:tcW w:w="1797" w:type="dxa"/>
            <w:vMerge/>
          </w:tcPr>
          <w:p w14:paraId="50F33577" w14:textId="77777777" w:rsidR="00CD3EA4" w:rsidRPr="001C5C41" w:rsidRDefault="00CD3EA4" w:rsidP="00C017E6">
            <w:pPr>
              <w:snapToGrid w:val="0"/>
              <w:jc w:val="center"/>
              <w:rPr>
                <w:rFonts w:cs="Times New Roman"/>
                <w:color w:val="000000" w:themeColor="text1"/>
              </w:rPr>
            </w:pPr>
          </w:p>
        </w:tc>
        <w:tc>
          <w:tcPr>
            <w:tcW w:w="1423" w:type="dxa"/>
          </w:tcPr>
          <w:p w14:paraId="1D570700"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Mid vs. Post</w:t>
            </w:r>
          </w:p>
        </w:tc>
        <w:tc>
          <w:tcPr>
            <w:tcW w:w="1878" w:type="dxa"/>
          </w:tcPr>
          <w:p w14:paraId="2EB44CA3"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23.12 vs. 21.08</w:t>
            </w:r>
          </w:p>
        </w:tc>
        <w:tc>
          <w:tcPr>
            <w:tcW w:w="851" w:type="dxa"/>
          </w:tcPr>
          <w:p w14:paraId="55ECE78C"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2.04</w:t>
            </w:r>
          </w:p>
        </w:tc>
        <w:tc>
          <w:tcPr>
            <w:tcW w:w="709" w:type="dxa"/>
          </w:tcPr>
          <w:p w14:paraId="7C7BD9FF"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0.36</w:t>
            </w:r>
          </w:p>
        </w:tc>
        <w:tc>
          <w:tcPr>
            <w:tcW w:w="992" w:type="dxa"/>
          </w:tcPr>
          <w:p w14:paraId="3666FA4F"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&lt;.001*</w:t>
            </w:r>
          </w:p>
        </w:tc>
        <w:tc>
          <w:tcPr>
            <w:tcW w:w="1276" w:type="dxa"/>
          </w:tcPr>
          <w:p w14:paraId="279D671E" w14:textId="77777777" w:rsidR="00CD3EA4" w:rsidRPr="001C5C41" w:rsidRDefault="00CD3EA4" w:rsidP="00C017E6">
            <w:pPr>
              <w:snapToGrid w:val="0"/>
              <w:jc w:val="center"/>
              <w:rPr>
                <w:rFonts w:cs="Times New Roman"/>
                <w:color w:val="000000" w:themeColor="text1"/>
              </w:rPr>
            </w:pPr>
            <w:r w:rsidRPr="001C5C41">
              <w:rPr>
                <w:rFonts w:cs="Times New Roman"/>
                <w:color w:val="000000" w:themeColor="text1"/>
              </w:rPr>
              <w:t>-1.35</w:t>
            </w:r>
          </w:p>
        </w:tc>
      </w:tr>
    </w:tbl>
    <w:p w14:paraId="02DFEE16" w14:textId="77777777" w:rsidR="00BB4CF6" w:rsidRPr="00C017E6" w:rsidRDefault="00000000" w:rsidP="00AF34E3">
      <w:pPr>
        <w:snapToGrid w:val="0"/>
        <w:jc w:val="thaiDistribute"/>
        <w:rPr>
          <w:rFonts w:cs="Times New Roman"/>
          <w:color w:val="000000" w:themeColor="text1"/>
        </w:rPr>
      </w:pPr>
      <w:r w:rsidRPr="00C017E6">
        <w:rPr>
          <w:rFonts w:cs="Times New Roman"/>
          <w:color w:val="000000" w:themeColor="text1"/>
        </w:rPr>
        <w:t>Note. *p &lt; .05 (Bonferroni-corrected). Mean difference = Mᵢ − Mᵣ; negative movement fluency differences indicate improvement (faster time). SE = standard error. Cohen’s d: small ≥ 0.20, medium ≥ 0.50, large ≥ 0.80.</w:t>
      </w:r>
    </w:p>
    <w:p w14:paraId="3E22EC78" w14:textId="77777777" w:rsidR="00C017E6" w:rsidRDefault="00C017E6" w:rsidP="00AF34E3">
      <w:pPr>
        <w:snapToGrid w:val="0"/>
        <w:ind w:firstLine="720"/>
        <w:jc w:val="thaiDistribute"/>
        <w:rPr>
          <w:rFonts w:cs="Times New Roman"/>
          <w:color w:val="000000" w:themeColor="text1"/>
        </w:rPr>
      </w:pPr>
    </w:p>
    <w:p w14:paraId="63BD7E4F" w14:textId="4CAA58F1" w:rsidR="00BB4CF6" w:rsidRDefault="00CD3EA4" w:rsidP="00AF34E3">
      <w:pPr>
        <w:snapToGrid w:val="0"/>
        <w:ind w:firstLine="720"/>
        <w:jc w:val="thaiDistribute"/>
        <w:rPr>
          <w:rFonts w:cs="Times New Roman"/>
          <w:color w:val="000000" w:themeColor="text1"/>
        </w:rPr>
      </w:pPr>
      <w:r w:rsidRPr="001C5C41">
        <w:rPr>
          <w:rFonts w:cs="Times New Roman"/>
          <w:color w:val="000000" w:themeColor="text1"/>
        </w:rPr>
        <w:lastRenderedPageBreak/>
        <w:t>From table 6: Bonferroni-adjusted pairwise comparisons (Table 8) revealed that every successive interval produced statistically significant increments in all three variables (all corrected *p &lt; .05). For aerobic capacity, each pair of time points yielded a mean difference of 1.72 mL·kg⁻¹·min⁻¹ (d = 0.45, medium effect), with the cumulative pre-to-post difference reaching d = 0.90 (large). Core strength demonstrated the largest absolute gains: pre-to-mid mean difference = 34.80 s (d = 1.25) and pre-to-post difference = 73.40 s (d = 2.11), indicating very large training effects. Movement fluency improvements were even more pronounced in standardised terms, with the pre-to-post reduction in completion time yielding d = −4.53, confirming that reactive agility training within the integrated programme substantially outpaced the control condition across all intervals.</w:t>
      </w:r>
    </w:p>
    <w:p w14:paraId="2CE134A8" w14:textId="77777777" w:rsidR="00C017E6" w:rsidRPr="001C5C41" w:rsidRDefault="00C017E6" w:rsidP="00AF34E3">
      <w:pPr>
        <w:snapToGrid w:val="0"/>
        <w:ind w:firstLine="720"/>
        <w:jc w:val="thaiDistribute"/>
        <w:rPr>
          <w:rFonts w:cs="Times New Roman"/>
          <w:color w:val="000000" w:themeColor="text1"/>
        </w:rPr>
      </w:pPr>
    </w:p>
    <w:p w14:paraId="77A37F01" w14:textId="77777777" w:rsidR="00BB4CF6" w:rsidRPr="00C017E6" w:rsidRDefault="00000000" w:rsidP="00AF34E3">
      <w:pPr>
        <w:snapToGrid w:val="0"/>
        <w:jc w:val="thaiDistribute"/>
        <w:rPr>
          <w:rFonts w:cs="Times New Roman"/>
          <w:color w:val="000000" w:themeColor="text1"/>
          <w:sz w:val="28"/>
          <w:szCs w:val="28"/>
        </w:rPr>
      </w:pPr>
      <w:r w:rsidRPr="00C017E6">
        <w:rPr>
          <w:rFonts w:cs="Times New Roman"/>
          <w:b/>
          <w:bCs/>
          <w:color w:val="000000" w:themeColor="text1"/>
          <w:sz w:val="28"/>
          <w:szCs w:val="28"/>
        </w:rPr>
        <w:t>Discussion</w:t>
      </w:r>
    </w:p>
    <w:p w14:paraId="564C4631" w14:textId="675822C7"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The findings confirm that a 12-week badminton-specific physical fitness programme, systematically constructed through expert consultation and delivered as an integrated periodised intervention, produced significant, progressive improvements in aerobic capacity, core strength, and movement fluency among amateur players</w:t>
      </w:r>
      <w:r w:rsidR="00CD3EA4" w:rsidRPr="001C5C41">
        <w:rPr>
          <w:rFonts w:cs="Times New Roman"/>
          <w:color w:val="000000" w:themeColor="text1"/>
        </w:rPr>
        <w:t xml:space="preserve"> </w:t>
      </w:r>
      <w:r w:rsidRPr="001C5C41">
        <w:rPr>
          <w:rFonts w:cs="Times New Roman"/>
          <w:color w:val="000000" w:themeColor="text1"/>
        </w:rPr>
        <w:t>establishing its superiority over conventional technical training across all three physical performance domains.</w:t>
      </w:r>
    </w:p>
    <w:p w14:paraId="472DB72B" w14:textId="51EC41DC"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The aerobic capacity gains observed in the experimental group (pre: 43.90 to post: 47.30 mL·kg⁻¹·min⁻¹, approximately 7.7% improvement) are consistent with adaptations reported following sport-specific HIIT protocols in racket sports populations. The 30-second multi-shuttle drill format, which closely replicates badminton rally metabolic demands, likely produced cardiovascular adaptations</w:t>
      </w:r>
      <w:r w:rsidR="00CD3EA4" w:rsidRPr="001C5C41">
        <w:rPr>
          <w:rFonts w:cs="Times New Roman"/>
          <w:color w:val="000000" w:themeColor="text1"/>
        </w:rPr>
        <w:t xml:space="preserve"> </w:t>
      </w:r>
      <w:r w:rsidRPr="001C5C41">
        <w:rPr>
          <w:rFonts w:cs="Times New Roman"/>
          <w:color w:val="000000" w:themeColor="text1"/>
        </w:rPr>
        <w:t>increased stroke volume, improved oxygen extraction, and enhanced lactate buffering capacity</w:t>
      </w:r>
      <w:r w:rsidR="00CD3EA4" w:rsidRPr="001C5C41">
        <w:rPr>
          <w:rFonts w:cs="Times New Roman"/>
          <w:color w:val="000000" w:themeColor="text1"/>
        </w:rPr>
        <w:t xml:space="preserve"> </w:t>
      </w:r>
      <w:r w:rsidRPr="001C5C41">
        <w:rPr>
          <w:rFonts w:cs="Times New Roman"/>
          <w:color w:val="000000" w:themeColor="text1"/>
        </w:rPr>
        <w:t>comparable to those documented by Fernandez-Fernandez et al. (2017) in a similar intermittent training protocol. Critically, these gains place post-intervention players within the 47–52 mL·kg⁻¹·min⁻¹ range documented for competitive amateur players, representing a meaningful functional threshold associated with reduced mid-match fatigue and superior technical consistency in extended play (Ming et al., 2022).</w:t>
      </w:r>
    </w:p>
    <w:p w14:paraId="3FD8BFA4" w14:textId="1A1FFAFA"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Core strength improvements (90.60 to 164.00 seconds, an 81% gain) substantially exceeded the control group trajectory and reflect the capacity of rotational, anti-rotation, and stability-based exercises to produce rapid neuromuscular adaptations in previously undertrained populations. McGill's (2016) kinetic chain model helps explain the functional significance: when trunk stabilisers develop sufficient endurance, proximal stability is secured before distal mobility is deployed, enabling more efficient power transfer from the lower extremity through the trunk to the striking arm</w:t>
      </w:r>
      <w:r w:rsidR="00CD3EA4" w:rsidRPr="001C5C41">
        <w:rPr>
          <w:rFonts w:cs="Times New Roman"/>
          <w:color w:val="000000" w:themeColor="text1"/>
        </w:rPr>
        <w:t xml:space="preserve"> </w:t>
      </w:r>
      <w:r w:rsidRPr="001C5C41">
        <w:rPr>
          <w:rFonts w:cs="Times New Roman"/>
          <w:color w:val="000000" w:themeColor="text1"/>
        </w:rPr>
        <w:t>a mechanism directly linked to smash velocity and shuttlecock precision that the control group's technique-only training could not replicate. The movement fluency results reinforce this interpretation. The 24.5% reduction in Badcamp Agility Test completion time reflects improved neuromuscular coordination, split-step timing, and recovery mechanics</w:t>
      </w:r>
      <w:r w:rsidR="00CD3EA4" w:rsidRPr="001C5C41">
        <w:rPr>
          <w:rFonts w:cs="Times New Roman"/>
          <w:color w:val="000000" w:themeColor="text1"/>
        </w:rPr>
        <w:t xml:space="preserve"> </w:t>
      </w:r>
      <w:r w:rsidRPr="001C5C41">
        <w:rPr>
          <w:rFonts w:cs="Times New Roman"/>
          <w:color w:val="000000" w:themeColor="text1"/>
        </w:rPr>
        <w:t>qualities that depend on both aerobic reserve and core stability working in concert (Behm et al., 2021). This interdependence represents the study's principal theoretical contribution: gains in isolated physical qualities are insufficient; it is their integration within sport-representative training that generates transferable movement efficiency.</w:t>
      </w:r>
    </w:p>
    <w:p w14:paraId="793CDA4E" w14:textId="459E5553"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Several limitations warrant acknowledgement. The sample was drawn from a single club in Taizhou, which constrains direct generalisation to other demographic or geographic populations. The 12-week observation window, while sufficient to detect training-induced adaptation, precludes conclusions about the durability of gains beyond the intervention period. Uncontrolled lifestyle variables</w:t>
      </w:r>
      <w:r w:rsidR="00CD3EA4" w:rsidRPr="001C5C41">
        <w:rPr>
          <w:rFonts w:cs="Times New Roman"/>
          <w:color w:val="000000" w:themeColor="text1"/>
        </w:rPr>
        <w:t xml:space="preserve"> </w:t>
      </w:r>
      <w:r w:rsidRPr="001C5C41">
        <w:rPr>
          <w:rFonts w:cs="Times New Roman"/>
          <w:color w:val="000000" w:themeColor="text1"/>
        </w:rPr>
        <w:t>sleep quality, dietary intake, and concurrent physical activities outside the programme</w:t>
      </w:r>
      <w:r w:rsidR="00CD3EA4" w:rsidRPr="001C5C41">
        <w:rPr>
          <w:rFonts w:cs="Times New Roman"/>
          <w:color w:val="000000" w:themeColor="text1"/>
        </w:rPr>
        <w:t xml:space="preserve"> </w:t>
      </w:r>
      <w:r w:rsidRPr="001C5C41">
        <w:rPr>
          <w:rFonts w:cs="Times New Roman"/>
          <w:color w:val="000000" w:themeColor="text1"/>
        </w:rPr>
        <w:t>may have introduced noise into the outcome measures. Future research should incorporate longitudinal follow-up assessments, wearable-based load monitoring to quantify actual dose delivery, and multi-site replication to strengthen external validity.</w:t>
      </w:r>
    </w:p>
    <w:p w14:paraId="652A2BF2" w14:textId="77777777" w:rsidR="00C017E6" w:rsidRDefault="00C017E6" w:rsidP="00AF34E3">
      <w:pPr>
        <w:snapToGrid w:val="0"/>
        <w:jc w:val="thaiDistribute"/>
        <w:rPr>
          <w:rFonts w:cs="Times New Roman"/>
          <w:b/>
          <w:bCs/>
          <w:color w:val="000000" w:themeColor="text1"/>
        </w:rPr>
      </w:pPr>
    </w:p>
    <w:p w14:paraId="6E8862FC" w14:textId="77777777" w:rsidR="00C017E6" w:rsidRDefault="00C017E6" w:rsidP="00AF34E3">
      <w:pPr>
        <w:snapToGrid w:val="0"/>
        <w:jc w:val="thaiDistribute"/>
        <w:rPr>
          <w:rFonts w:cs="Times New Roman"/>
          <w:b/>
          <w:bCs/>
          <w:color w:val="000000" w:themeColor="text1"/>
        </w:rPr>
      </w:pPr>
    </w:p>
    <w:p w14:paraId="2E8FD979" w14:textId="1DE4D33C" w:rsidR="00BB4CF6" w:rsidRPr="00C017E6" w:rsidRDefault="00000000" w:rsidP="00AF34E3">
      <w:pPr>
        <w:snapToGrid w:val="0"/>
        <w:jc w:val="thaiDistribute"/>
        <w:rPr>
          <w:rFonts w:cs="Times New Roman"/>
          <w:color w:val="000000" w:themeColor="text1"/>
          <w:sz w:val="28"/>
          <w:szCs w:val="28"/>
        </w:rPr>
      </w:pPr>
      <w:r w:rsidRPr="00C017E6">
        <w:rPr>
          <w:rFonts w:cs="Times New Roman"/>
          <w:b/>
          <w:bCs/>
          <w:color w:val="000000" w:themeColor="text1"/>
          <w:sz w:val="28"/>
          <w:szCs w:val="28"/>
        </w:rPr>
        <w:lastRenderedPageBreak/>
        <w:t>Conclusion</w:t>
      </w:r>
    </w:p>
    <w:p w14:paraId="5F96C974" w14:textId="2DF69C30"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This study achieved all three research objectives. The situational survey documented significant physical conditioning deficits among amateur players</w:t>
      </w:r>
      <w:r w:rsidR="00CD3EA4" w:rsidRPr="001C5C41">
        <w:rPr>
          <w:rFonts w:cs="Times New Roman"/>
          <w:color w:val="000000" w:themeColor="text1"/>
        </w:rPr>
        <w:t xml:space="preserve"> </w:t>
      </w:r>
      <w:r w:rsidRPr="001C5C41">
        <w:rPr>
          <w:rFonts w:cs="Times New Roman"/>
          <w:color w:val="000000" w:themeColor="text1"/>
        </w:rPr>
        <w:t>widely recognised but systematically neglected in club training. The expert-developed, periodised programme (IOC = 0.90) successfully integrated HIIT, functional core training, and reactive agility work within a scientifically grounded framework. The 12-week trial demonstrated that the programme produced statistically and practically significant improvements in aerobic capacity, core strength, and movement fluency, with the experimental group outperforming the control group on all post-test measures (*p &lt; .05) and maintaining progressive within-group gains at every measurement interval. These findings establish the programme as a valid, replicable, and deployable tool for club-level physical education practitioners seeking to bridge the gap between technical skill development and sport-specific physical preparedness in amateur badminton.</w:t>
      </w:r>
    </w:p>
    <w:p w14:paraId="1B9CB047" w14:textId="77777777" w:rsidR="00C017E6" w:rsidRDefault="00C017E6" w:rsidP="00AF34E3">
      <w:pPr>
        <w:snapToGrid w:val="0"/>
        <w:jc w:val="thaiDistribute"/>
        <w:rPr>
          <w:rFonts w:cs="Times New Roman"/>
          <w:b/>
          <w:bCs/>
          <w:color w:val="000000" w:themeColor="text1"/>
        </w:rPr>
      </w:pPr>
    </w:p>
    <w:p w14:paraId="36BB4075" w14:textId="014A549D" w:rsidR="00BB4CF6" w:rsidRPr="00C017E6" w:rsidRDefault="00000000" w:rsidP="00AF34E3">
      <w:pPr>
        <w:snapToGrid w:val="0"/>
        <w:jc w:val="thaiDistribute"/>
        <w:rPr>
          <w:rFonts w:cs="Times New Roman"/>
          <w:color w:val="000000" w:themeColor="text1"/>
          <w:sz w:val="28"/>
          <w:szCs w:val="28"/>
        </w:rPr>
      </w:pPr>
      <w:r w:rsidRPr="00C017E6">
        <w:rPr>
          <w:rFonts w:cs="Times New Roman"/>
          <w:b/>
          <w:bCs/>
          <w:color w:val="000000" w:themeColor="text1"/>
          <w:sz w:val="28"/>
          <w:szCs w:val="28"/>
        </w:rPr>
        <w:t>Recommendations</w:t>
      </w:r>
    </w:p>
    <w:p w14:paraId="48A48FC3" w14:textId="77777777" w:rsidR="00BB4CF6" w:rsidRPr="001C5C41" w:rsidRDefault="00000000" w:rsidP="00AF34E3">
      <w:pPr>
        <w:snapToGrid w:val="0"/>
        <w:ind w:firstLine="720"/>
        <w:jc w:val="thaiDistribute"/>
        <w:rPr>
          <w:rFonts w:cs="Times New Roman"/>
          <w:color w:val="000000" w:themeColor="text1"/>
        </w:rPr>
      </w:pPr>
      <w:r w:rsidRPr="001C5C41">
        <w:rPr>
          <w:rFonts w:cs="Times New Roman"/>
          <w:b/>
          <w:bCs/>
          <w:color w:val="000000" w:themeColor="text1"/>
        </w:rPr>
        <w:t>For Practitioners</w:t>
      </w:r>
    </w:p>
    <w:p w14:paraId="6C2BFBB6" w14:textId="77777777"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1. Adopt the three-phase periodised structure, beginning with movement quality and aerobic base before progressing to power and match-simulation training. Premature introduction of high-intensity loading before foundational competencies are established increases injury risk and reduces training transfer.</w:t>
      </w:r>
    </w:p>
    <w:p w14:paraId="6E646715" w14:textId="77777777"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2. Integrate physical conditioning within technical sessions rather than separating them. Executing stroke drills under induced physiological fatigue replicates match-play demands and accelerates neuromuscular adaptation relevant to actual competition.</w:t>
      </w:r>
    </w:p>
    <w:p w14:paraId="1CD3751C" w14:textId="77777777"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3. Implement standardised field testing (20-Metre Shuttle Run, Plank, Badcamp) at six-week intervals to monitor individual progress and adjust training loads accordingly, ensuring the principle of progressive overload is maintained across the programme duration.</w:t>
      </w:r>
    </w:p>
    <w:p w14:paraId="77407CF9" w14:textId="77777777" w:rsidR="00BB4CF6" w:rsidRPr="001C5C41" w:rsidRDefault="00000000" w:rsidP="00AF34E3">
      <w:pPr>
        <w:snapToGrid w:val="0"/>
        <w:ind w:firstLine="720"/>
        <w:jc w:val="thaiDistribute"/>
        <w:rPr>
          <w:rFonts w:cs="Times New Roman"/>
          <w:color w:val="000000" w:themeColor="text1"/>
        </w:rPr>
      </w:pPr>
      <w:r w:rsidRPr="001C5C41">
        <w:rPr>
          <w:rFonts w:cs="Times New Roman"/>
          <w:b/>
          <w:bCs/>
          <w:color w:val="000000" w:themeColor="text1"/>
        </w:rPr>
        <w:t>For Future Research</w:t>
      </w:r>
    </w:p>
    <w:p w14:paraId="00075971" w14:textId="77777777"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1. Conduct multi-site replications across clubs of varying resource levels to evaluate programme feasibility and fidelity under different institutional constraints.</w:t>
      </w:r>
    </w:p>
    <w:p w14:paraId="34FEF6A1" w14:textId="77777777"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2. Incorporate wearable physiological monitoring (heart rate variability, GPS-based load metrics) to objectively quantify training dose and dose–response relationships between specific exercises and adaptation outcomes.</w:t>
      </w:r>
    </w:p>
    <w:p w14:paraId="34484945" w14:textId="77777777" w:rsidR="00BB4CF6" w:rsidRPr="001C5C41" w:rsidRDefault="00000000" w:rsidP="00AF34E3">
      <w:pPr>
        <w:snapToGrid w:val="0"/>
        <w:ind w:firstLine="720"/>
        <w:jc w:val="thaiDistribute"/>
        <w:rPr>
          <w:rFonts w:cs="Times New Roman"/>
          <w:color w:val="000000" w:themeColor="text1"/>
        </w:rPr>
      </w:pPr>
      <w:r w:rsidRPr="001C5C41">
        <w:rPr>
          <w:rFonts w:cs="Times New Roman"/>
          <w:color w:val="000000" w:themeColor="text1"/>
        </w:rPr>
        <w:t>3. Extend follow-up assessments to 6 and 12 months post-intervention to determine the retention of fitness gains and the long-term behavioural impact on training adherence in the amateur population.</w:t>
      </w:r>
    </w:p>
    <w:p w14:paraId="07BA9F2D" w14:textId="77777777" w:rsidR="00CD3EA4" w:rsidRPr="001C5C41" w:rsidRDefault="00CD3EA4" w:rsidP="00AF34E3">
      <w:pPr>
        <w:snapToGrid w:val="0"/>
        <w:jc w:val="thaiDistribute"/>
        <w:rPr>
          <w:rFonts w:cs="Times New Roman"/>
          <w:b/>
          <w:bCs/>
          <w:color w:val="000000" w:themeColor="text1"/>
        </w:rPr>
      </w:pPr>
    </w:p>
    <w:p w14:paraId="542FA7D1" w14:textId="10D648FC" w:rsidR="00BB4CF6" w:rsidRPr="00C017E6" w:rsidRDefault="00000000" w:rsidP="00AF34E3">
      <w:pPr>
        <w:snapToGrid w:val="0"/>
        <w:jc w:val="thaiDistribute"/>
        <w:rPr>
          <w:rFonts w:cs="Times New Roman"/>
          <w:color w:val="000000" w:themeColor="text1"/>
          <w:sz w:val="28"/>
          <w:szCs w:val="28"/>
        </w:rPr>
      </w:pPr>
      <w:r w:rsidRPr="00C017E6">
        <w:rPr>
          <w:rFonts w:cs="Times New Roman"/>
          <w:b/>
          <w:bCs/>
          <w:color w:val="000000" w:themeColor="text1"/>
          <w:sz w:val="28"/>
          <w:szCs w:val="28"/>
        </w:rPr>
        <w:t>References</w:t>
      </w:r>
    </w:p>
    <w:p w14:paraId="4345EF44" w14:textId="77777777" w:rsidR="00BB4CF6" w:rsidRPr="001C5C41" w:rsidRDefault="00000000" w:rsidP="00AF34E3">
      <w:pPr>
        <w:snapToGrid w:val="0"/>
        <w:ind w:left="720" w:hanging="720"/>
        <w:jc w:val="thaiDistribute"/>
        <w:rPr>
          <w:rFonts w:cs="Times New Roman"/>
          <w:color w:val="000000" w:themeColor="text1"/>
        </w:rPr>
      </w:pPr>
      <w:r w:rsidRPr="001C5C41">
        <w:rPr>
          <w:rFonts w:cs="Times New Roman"/>
          <w:color w:val="000000" w:themeColor="text1"/>
        </w:rPr>
        <w:t xml:space="preserve">Abián-Vicén, J., Sánchez-Infante, J., Gómez, A. J., Báguena, E. M., &amp; Abián, P. (2018). Injury incidence and characteristics in young elite badminton players. </w:t>
      </w:r>
      <w:r w:rsidRPr="001C5C41">
        <w:rPr>
          <w:rFonts w:cs="Times New Roman"/>
          <w:i/>
          <w:iCs/>
          <w:color w:val="000000" w:themeColor="text1"/>
        </w:rPr>
        <w:t>International Journal of Sports Science &amp; Coaching</w:t>
      </w:r>
      <w:r w:rsidRPr="001C5C41">
        <w:rPr>
          <w:rFonts w:cs="Times New Roman"/>
          <w:color w:val="000000" w:themeColor="text1"/>
        </w:rPr>
        <w:t xml:space="preserve">, </w:t>
      </w:r>
      <w:r w:rsidRPr="001C5C41">
        <w:rPr>
          <w:rFonts w:cs="Times New Roman"/>
          <w:i/>
          <w:iCs/>
          <w:color w:val="000000" w:themeColor="text1"/>
        </w:rPr>
        <w:t>13</w:t>
      </w:r>
      <w:r w:rsidRPr="001C5C41">
        <w:rPr>
          <w:rFonts w:cs="Times New Roman"/>
          <w:color w:val="000000" w:themeColor="text1"/>
        </w:rPr>
        <w:t>(1), 111–119. https://doi.org/10.1177/1747954117711987</w:t>
      </w:r>
    </w:p>
    <w:p w14:paraId="6CF8E495" w14:textId="77777777" w:rsidR="00BB4CF6" w:rsidRPr="001C5C41" w:rsidRDefault="00000000" w:rsidP="00AF34E3">
      <w:pPr>
        <w:snapToGrid w:val="0"/>
        <w:ind w:left="720" w:hanging="720"/>
        <w:jc w:val="thaiDistribute"/>
        <w:rPr>
          <w:rFonts w:cs="Times New Roman"/>
          <w:color w:val="000000" w:themeColor="text1"/>
        </w:rPr>
      </w:pPr>
      <w:r w:rsidRPr="001C5C41">
        <w:rPr>
          <w:rFonts w:cs="Times New Roman"/>
          <w:color w:val="000000" w:themeColor="text1"/>
        </w:rPr>
        <w:t xml:space="preserve">Behm, D. G., Colado, J. C., &amp; Colado, R. (2021). Instability resistance training across the exercise continuum. </w:t>
      </w:r>
      <w:r w:rsidRPr="001C5C41">
        <w:rPr>
          <w:rFonts w:cs="Times New Roman"/>
          <w:i/>
          <w:iCs/>
          <w:color w:val="000000" w:themeColor="text1"/>
        </w:rPr>
        <w:t>Sports Health</w:t>
      </w:r>
      <w:r w:rsidRPr="001C5C41">
        <w:rPr>
          <w:rFonts w:cs="Times New Roman"/>
          <w:color w:val="000000" w:themeColor="text1"/>
        </w:rPr>
        <w:t xml:space="preserve">, </w:t>
      </w:r>
      <w:r w:rsidRPr="001C5C41">
        <w:rPr>
          <w:rFonts w:cs="Times New Roman"/>
          <w:i/>
          <w:iCs/>
          <w:color w:val="000000" w:themeColor="text1"/>
        </w:rPr>
        <w:t>13</w:t>
      </w:r>
      <w:r w:rsidRPr="001C5C41">
        <w:rPr>
          <w:rFonts w:cs="Times New Roman"/>
          <w:color w:val="000000" w:themeColor="text1"/>
        </w:rPr>
        <w:t>(6), 533–537. https://doi.org/10.1177/19417381211009048</w:t>
      </w:r>
    </w:p>
    <w:p w14:paraId="23662303" w14:textId="77777777" w:rsidR="00BB4CF6" w:rsidRPr="001C5C41" w:rsidRDefault="00000000" w:rsidP="00AF34E3">
      <w:pPr>
        <w:snapToGrid w:val="0"/>
        <w:ind w:left="720" w:hanging="720"/>
        <w:jc w:val="thaiDistribute"/>
        <w:rPr>
          <w:rFonts w:cs="Times New Roman"/>
          <w:color w:val="000000" w:themeColor="text1"/>
        </w:rPr>
      </w:pPr>
      <w:r w:rsidRPr="001C5C41">
        <w:rPr>
          <w:rFonts w:cs="Times New Roman"/>
          <w:color w:val="000000" w:themeColor="text1"/>
        </w:rPr>
        <w:t xml:space="preserve">Cabello-Manrique, D., Laffaye, G., Kons, R. L., &amp; Detanico, D. (2021). Performance analysis in badminton: A systematic review. </w:t>
      </w:r>
      <w:r w:rsidRPr="001C5C41">
        <w:rPr>
          <w:rFonts w:cs="Times New Roman"/>
          <w:i/>
          <w:iCs/>
          <w:color w:val="000000" w:themeColor="text1"/>
        </w:rPr>
        <w:t>International Journal of Performance Analysis in Sport</w:t>
      </w:r>
      <w:r w:rsidRPr="001C5C41">
        <w:rPr>
          <w:rFonts w:cs="Times New Roman"/>
          <w:color w:val="000000" w:themeColor="text1"/>
        </w:rPr>
        <w:t xml:space="preserve">, </w:t>
      </w:r>
      <w:r w:rsidRPr="001C5C41">
        <w:rPr>
          <w:rFonts w:cs="Times New Roman"/>
          <w:i/>
          <w:iCs/>
          <w:color w:val="000000" w:themeColor="text1"/>
        </w:rPr>
        <w:t>21</w:t>
      </w:r>
      <w:r w:rsidRPr="001C5C41">
        <w:rPr>
          <w:rFonts w:cs="Times New Roman"/>
          <w:color w:val="000000" w:themeColor="text1"/>
        </w:rPr>
        <w:t>(5), 813–833. https://doi.org/10.1080/24748668.2021.1944763</w:t>
      </w:r>
    </w:p>
    <w:p w14:paraId="2059FFBC" w14:textId="79598339" w:rsidR="00BB4CF6" w:rsidRPr="001C5C41" w:rsidRDefault="00000000" w:rsidP="00AF34E3">
      <w:pPr>
        <w:snapToGrid w:val="0"/>
        <w:ind w:left="720" w:hanging="720"/>
        <w:jc w:val="thaiDistribute"/>
        <w:rPr>
          <w:rFonts w:cs="Times New Roman"/>
          <w:color w:val="000000" w:themeColor="text1"/>
        </w:rPr>
      </w:pPr>
      <w:r w:rsidRPr="001C5C41">
        <w:rPr>
          <w:rFonts w:cs="Times New Roman"/>
          <w:color w:val="000000" w:themeColor="text1"/>
        </w:rPr>
        <w:t xml:space="preserve">Fernandez-Fernandez, J., Sanz-Rivas, D., Sánchez-Muñoz, C., Pluim, B. M., Tiemessen, I., &amp; Méndez-Villanueva, A. (2017). A comparison of the activity profile and physiological demands between advanced and recreational veteran tennis players. </w:t>
      </w:r>
      <w:r w:rsidRPr="001C5C41">
        <w:rPr>
          <w:rFonts w:cs="Times New Roman"/>
          <w:i/>
          <w:iCs/>
          <w:color w:val="000000" w:themeColor="text1"/>
        </w:rPr>
        <w:t>Journal of Strength and Conditioning Research</w:t>
      </w:r>
      <w:r w:rsidRPr="001C5C41">
        <w:rPr>
          <w:rFonts w:cs="Times New Roman"/>
          <w:color w:val="000000" w:themeColor="text1"/>
        </w:rPr>
        <w:t xml:space="preserve">, </w:t>
      </w:r>
      <w:r w:rsidRPr="001C5C41">
        <w:rPr>
          <w:rFonts w:cs="Times New Roman"/>
          <w:i/>
          <w:iCs/>
          <w:color w:val="000000" w:themeColor="text1"/>
        </w:rPr>
        <w:t>31</w:t>
      </w:r>
      <w:r w:rsidRPr="001C5C41">
        <w:rPr>
          <w:rFonts w:cs="Times New Roman"/>
          <w:color w:val="000000" w:themeColor="text1"/>
        </w:rPr>
        <w:t>(4), 940–952</w:t>
      </w:r>
      <w:r w:rsidRPr="00C017E6">
        <w:rPr>
          <w:rFonts w:cs="Times New Roman"/>
          <w:color w:val="000000" w:themeColor="text1"/>
        </w:rPr>
        <w:t xml:space="preserve">. </w:t>
      </w:r>
      <w:hyperlink r:id="rId5" w:history="1">
        <w:r w:rsidR="00C017E6" w:rsidRPr="00C017E6">
          <w:rPr>
            <w:rStyle w:val="Hyperlink"/>
            <w:rFonts w:cs="Times New Roman" w:hint="cs"/>
            <w:color w:val="000000" w:themeColor="text1"/>
            <w:u w:val="none"/>
          </w:rPr>
          <w:t>https://doi.org/10.1519/JSC.000000000</w:t>
        </w:r>
      </w:hyperlink>
      <w:r w:rsidR="00C017E6" w:rsidRPr="00C017E6">
        <w:rPr>
          <w:rFonts w:cs="Times New Roman"/>
          <w:color w:val="000000" w:themeColor="text1"/>
        </w:rPr>
        <w:t xml:space="preserve"> </w:t>
      </w:r>
      <w:r w:rsidRPr="00C017E6">
        <w:rPr>
          <w:rFonts w:cs="Times New Roman"/>
          <w:color w:val="000000" w:themeColor="text1"/>
        </w:rPr>
        <w:t>0001380</w:t>
      </w:r>
    </w:p>
    <w:p w14:paraId="37B49A60" w14:textId="77777777" w:rsidR="00BB4CF6" w:rsidRPr="001C5C41" w:rsidRDefault="00000000" w:rsidP="00AF34E3">
      <w:pPr>
        <w:snapToGrid w:val="0"/>
        <w:ind w:left="720" w:hanging="720"/>
        <w:jc w:val="thaiDistribute"/>
        <w:rPr>
          <w:rFonts w:cs="Times New Roman"/>
          <w:color w:val="000000" w:themeColor="text1"/>
        </w:rPr>
      </w:pPr>
      <w:r w:rsidRPr="001C5C41">
        <w:rPr>
          <w:rFonts w:cs="Times New Roman"/>
          <w:color w:val="000000" w:themeColor="text1"/>
        </w:rPr>
        <w:t xml:space="preserve">Kibler, W. B., Press, J., &amp; Sciascia, A. (2019). The role of core stability in athletic function. </w:t>
      </w:r>
      <w:r w:rsidRPr="001C5C41">
        <w:rPr>
          <w:rFonts w:cs="Times New Roman"/>
          <w:i/>
          <w:iCs/>
          <w:color w:val="000000" w:themeColor="text1"/>
        </w:rPr>
        <w:t>Sports Medicine</w:t>
      </w:r>
      <w:r w:rsidRPr="001C5C41">
        <w:rPr>
          <w:rFonts w:cs="Times New Roman"/>
          <w:color w:val="000000" w:themeColor="text1"/>
        </w:rPr>
        <w:t xml:space="preserve">, </w:t>
      </w:r>
      <w:r w:rsidRPr="001C5C41">
        <w:rPr>
          <w:rFonts w:cs="Times New Roman"/>
          <w:i/>
          <w:iCs/>
          <w:color w:val="000000" w:themeColor="text1"/>
        </w:rPr>
        <w:t>49</w:t>
      </w:r>
      <w:r w:rsidRPr="001C5C41">
        <w:rPr>
          <w:rFonts w:cs="Times New Roman"/>
          <w:color w:val="000000" w:themeColor="text1"/>
        </w:rPr>
        <w:t>(Suppl. 1), S73–S81. https://doi.org/10.1007/s40279-019-01061-2</w:t>
      </w:r>
    </w:p>
    <w:p w14:paraId="26932EDE" w14:textId="77777777" w:rsidR="00BB4CF6" w:rsidRPr="001C5C41" w:rsidRDefault="00000000" w:rsidP="00AF34E3">
      <w:pPr>
        <w:snapToGrid w:val="0"/>
        <w:ind w:left="720" w:hanging="720"/>
        <w:jc w:val="thaiDistribute"/>
        <w:rPr>
          <w:rFonts w:cs="Times New Roman"/>
          <w:color w:val="000000" w:themeColor="text1"/>
        </w:rPr>
      </w:pPr>
      <w:r w:rsidRPr="001C5C41">
        <w:rPr>
          <w:rFonts w:cs="Times New Roman"/>
          <w:color w:val="000000" w:themeColor="text1"/>
        </w:rPr>
        <w:lastRenderedPageBreak/>
        <w:t xml:space="preserve">Lam, W. K., Wong, D. W. C., &amp; Cheung, J. T. M. (2023). Shuttle speed prediction in badminton: A biomechanical and performance analysis review. </w:t>
      </w:r>
      <w:r w:rsidRPr="001C5C41">
        <w:rPr>
          <w:rFonts w:cs="Times New Roman"/>
          <w:i/>
          <w:iCs/>
          <w:color w:val="000000" w:themeColor="text1"/>
        </w:rPr>
        <w:t>Sports Biomechanics</w:t>
      </w:r>
      <w:r w:rsidRPr="001C5C41">
        <w:rPr>
          <w:rFonts w:cs="Times New Roman"/>
          <w:color w:val="000000" w:themeColor="text1"/>
        </w:rPr>
        <w:t xml:space="preserve">, </w:t>
      </w:r>
      <w:r w:rsidRPr="001C5C41">
        <w:rPr>
          <w:rFonts w:cs="Times New Roman"/>
          <w:i/>
          <w:iCs/>
          <w:color w:val="000000" w:themeColor="text1"/>
        </w:rPr>
        <w:t>22</w:t>
      </w:r>
      <w:r w:rsidRPr="001C5C41">
        <w:rPr>
          <w:rFonts w:cs="Times New Roman"/>
          <w:color w:val="000000" w:themeColor="text1"/>
        </w:rPr>
        <w:t>(4), 441–462. https://doi.org/10.1080/14763141.2019.1636950</w:t>
      </w:r>
    </w:p>
    <w:p w14:paraId="7779B3E4" w14:textId="77777777" w:rsidR="00BB4CF6" w:rsidRPr="001C5C41" w:rsidRDefault="00000000" w:rsidP="001C5C41">
      <w:pPr>
        <w:ind w:left="720" w:hanging="720"/>
        <w:jc w:val="thaiDistribute"/>
        <w:rPr>
          <w:rFonts w:cs="Times New Roman"/>
          <w:color w:val="000000" w:themeColor="text1"/>
        </w:rPr>
      </w:pPr>
      <w:r w:rsidRPr="001C5C41">
        <w:rPr>
          <w:rFonts w:cs="Times New Roman"/>
          <w:color w:val="000000" w:themeColor="text1"/>
        </w:rPr>
        <w:t xml:space="preserve">McGill, S. M. (2016). </w:t>
      </w:r>
      <w:r w:rsidRPr="001C5C41">
        <w:rPr>
          <w:rFonts w:cs="Times New Roman"/>
          <w:i/>
          <w:iCs/>
          <w:color w:val="000000" w:themeColor="text1"/>
        </w:rPr>
        <w:t xml:space="preserve">Low back disorders: Evidence-based prevention and rehabilitation </w:t>
      </w:r>
      <w:r w:rsidRPr="001C5C41">
        <w:rPr>
          <w:rFonts w:cs="Times New Roman"/>
          <w:color w:val="000000" w:themeColor="text1"/>
        </w:rPr>
        <w:t>(3rd ed.). Human Kinetics.</w:t>
      </w:r>
    </w:p>
    <w:p w14:paraId="12F72958" w14:textId="77777777" w:rsidR="00BB4CF6" w:rsidRPr="001C5C41" w:rsidRDefault="00000000" w:rsidP="001C5C41">
      <w:pPr>
        <w:ind w:left="720" w:hanging="720"/>
        <w:jc w:val="thaiDistribute"/>
        <w:rPr>
          <w:rFonts w:cs="Times New Roman"/>
          <w:color w:val="000000" w:themeColor="text1"/>
        </w:rPr>
      </w:pPr>
      <w:r w:rsidRPr="001C5C41">
        <w:rPr>
          <w:rFonts w:cs="Times New Roman"/>
          <w:color w:val="000000" w:themeColor="text1"/>
        </w:rPr>
        <w:t xml:space="preserve">Ming, L., Huang, B., &amp; Wang, Y. (2022). Determinants of aerobic performance in competitive badminton: A physiological review. </w:t>
      </w:r>
      <w:r w:rsidRPr="001C5C41">
        <w:rPr>
          <w:rFonts w:cs="Times New Roman"/>
          <w:i/>
          <w:iCs/>
          <w:color w:val="000000" w:themeColor="text1"/>
        </w:rPr>
        <w:t>Journal of Sports Sciences</w:t>
      </w:r>
      <w:r w:rsidRPr="001C5C41">
        <w:rPr>
          <w:rFonts w:cs="Times New Roman"/>
          <w:color w:val="000000" w:themeColor="text1"/>
        </w:rPr>
        <w:t xml:space="preserve">, </w:t>
      </w:r>
      <w:r w:rsidRPr="001C5C41">
        <w:rPr>
          <w:rFonts w:cs="Times New Roman"/>
          <w:i/>
          <w:iCs/>
          <w:color w:val="000000" w:themeColor="text1"/>
        </w:rPr>
        <w:t>40</w:t>
      </w:r>
      <w:r w:rsidRPr="001C5C41">
        <w:rPr>
          <w:rFonts w:cs="Times New Roman"/>
          <w:color w:val="000000" w:themeColor="text1"/>
        </w:rPr>
        <w:t>(3), 241–253. https://doi.org/10.1080/02640414.2021.1992426</w:t>
      </w:r>
    </w:p>
    <w:p w14:paraId="2EF9BDA8" w14:textId="77777777" w:rsidR="00BB4CF6" w:rsidRPr="001C5C41" w:rsidRDefault="00000000" w:rsidP="001C5C41">
      <w:pPr>
        <w:ind w:left="720" w:hanging="720"/>
        <w:jc w:val="thaiDistribute"/>
        <w:rPr>
          <w:rFonts w:cs="Times New Roman"/>
          <w:color w:val="000000" w:themeColor="text1"/>
        </w:rPr>
      </w:pPr>
      <w:r w:rsidRPr="001C5C41">
        <w:rPr>
          <w:rFonts w:cs="Times New Roman"/>
          <w:color w:val="000000" w:themeColor="text1"/>
        </w:rPr>
        <w:t xml:space="preserve">Phomsoupha, M., &amp; Laffaye, G. (2015). The science of badminton: Game characteristics, anthropometry, physiology, visual fitness and biomechanics. </w:t>
      </w:r>
      <w:r w:rsidRPr="001C5C41">
        <w:rPr>
          <w:rFonts w:cs="Times New Roman"/>
          <w:i/>
          <w:iCs/>
          <w:color w:val="000000" w:themeColor="text1"/>
        </w:rPr>
        <w:t>Sports Medicine</w:t>
      </w:r>
      <w:r w:rsidRPr="001C5C41">
        <w:rPr>
          <w:rFonts w:cs="Times New Roman"/>
          <w:color w:val="000000" w:themeColor="text1"/>
        </w:rPr>
        <w:t xml:space="preserve">, </w:t>
      </w:r>
      <w:r w:rsidRPr="001C5C41">
        <w:rPr>
          <w:rFonts w:cs="Times New Roman"/>
          <w:i/>
          <w:iCs/>
          <w:color w:val="000000" w:themeColor="text1"/>
        </w:rPr>
        <w:t>45</w:t>
      </w:r>
      <w:r w:rsidRPr="001C5C41">
        <w:rPr>
          <w:rFonts w:cs="Times New Roman"/>
          <w:color w:val="000000" w:themeColor="text1"/>
        </w:rPr>
        <w:t>(4), 473–495. https://doi.org/10.1007/s40279-014-0287-2</w:t>
      </w:r>
    </w:p>
    <w:p w14:paraId="3DEDA1B6" w14:textId="77777777" w:rsidR="00BB4CF6" w:rsidRPr="001C5C41" w:rsidRDefault="00000000" w:rsidP="001C5C41">
      <w:pPr>
        <w:ind w:left="720" w:hanging="720"/>
        <w:jc w:val="thaiDistribute"/>
        <w:rPr>
          <w:rFonts w:cs="Times New Roman"/>
          <w:color w:val="000000" w:themeColor="text1"/>
        </w:rPr>
      </w:pPr>
      <w:r w:rsidRPr="001C5C41">
        <w:rPr>
          <w:rFonts w:cs="Times New Roman"/>
          <w:color w:val="000000" w:themeColor="text1"/>
        </w:rPr>
        <w:t xml:space="preserve">Phomsoupha, M., &amp; Laffaye, G. (2020). Shuttlecock velocity during a smash stroke in badminton evolves linearly with skewed distribution. </w:t>
      </w:r>
      <w:r w:rsidRPr="001C5C41">
        <w:rPr>
          <w:rFonts w:cs="Times New Roman"/>
          <w:i/>
          <w:iCs/>
          <w:color w:val="000000" w:themeColor="text1"/>
        </w:rPr>
        <w:t>Motor Control</w:t>
      </w:r>
      <w:r w:rsidRPr="001C5C41">
        <w:rPr>
          <w:rFonts w:cs="Times New Roman"/>
          <w:color w:val="000000" w:themeColor="text1"/>
        </w:rPr>
        <w:t xml:space="preserve">, </w:t>
      </w:r>
      <w:r w:rsidRPr="001C5C41">
        <w:rPr>
          <w:rFonts w:cs="Times New Roman"/>
          <w:i/>
          <w:iCs/>
          <w:color w:val="000000" w:themeColor="text1"/>
        </w:rPr>
        <w:t>24</w:t>
      </w:r>
      <w:r w:rsidRPr="001C5C41">
        <w:rPr>
          <w:rFonts w:cs="Times New Roman"/>
          <w:color w:val="000000" w:themeColor="text1"/>
        </w:rPr>
        <w:t>(1), 91–110. https://doi.org/10.1123/mc.2018-0057</w:t>
      </w:r>
    </w:p>
    <w:p w14:paraId="60618820" w14:textId="77777777" w:rsidR="00BB4CF6" w:rsidRPr="001C5C41" w:rsidRDefault="00000000" w:rsidP="001C5C41">
      <w:pPr>
        <w:ind w:left="720" w:hanging="720"/>
        <w:jc w:val="thaiDistribute"/>
        <w:rPr>
          <w:rFonts w:cs="Times New Roman"/>
          <w:color w:val="000000" w:themeColor="text1"/>
        </w:rPr>
      </w:pPr>
      <w:r w:rsidRPr="001C5C41">
        <w:rPr>
          <w:rFonts w:cs="Times New Roman"/>
          <w:color w:val="000000" w:themeColor="text1"/>
        </w:rPr>
        <w:t xml:space="preserve">Stojanovic, E., Ristic, V., McMaster, D. T., &amp; Milanovic, Z. (2018). Effect of plyometric training on vertical jump performance in female athletes: A systematic review and meta-analysis. </w:t>
      </w:r>
      <w:r w:rsidRPr="001C5C41">
        <w:rPr>
          <w:rFonts w:cs="Times New Roman"/>
          <w:i/>
          <w:iCs/>
          <w:color w:val="000000" w:themeColor="text1"/>
        </w:rPr>
        <w:t>Sports Medicine</w:t>
      </w:r>
      <w:r w:rsidRPr="001C5C41">
        <w:rPr>
          <w:rFonts w:cs="Times New Roman"/>
          <w:color w:val="000000" w:themeColor="text1"/>
        </w:rPr>
        <w:t xml:space="preserve">, </w:t>
      </w:r>
      <w:r w:rsidRPr="001C5C41">
        <w:rPr>
          <w:rFonts w:cs="Times New Roman"/>
          <w:i/>
          <w:iCs/>
          <w:color w:val="000000" w:themeColor="text1"/>
        </w:rPr>
        <w:t>48</w:t>
      </w:r>
      <w:r w:rsidRPr="001C5C41">
        <w:rPr>
          <w:rFonts w:cs="Times New Roman"/>
          <w:color w:val="000000" w:themeColor="text1"/>
        </w:rPr>
        <w:t>(4), 975–986. https://doi.org/10.1007/s40279-017-0851-9</w:t>
      </w:r>
    </w:p>
    <w:p w14:paraId="18B018A2" w14:textId="77777777" w:rsidR="00BB4CF6" w:rsidRPr="001C5C41" w:rsidRDefault="00000000" w:rsidP="001C5C41">
      <w:pPr>
        <w:ind w:left="720" w:hanging="720"/>
        <w:jc w:val="thaiDistribute"/>
        <w:rPr>
          <w:rFonts w:cs="Times New Roman"/>
          <w:color w:val="000000" w:themeColor="text1"/>
        </w:rPr>
      </w:pPr>
      <w:r w:rsidRPr="001C5C41">
        <w:rPr>
          <w:rFonts w:cs="Times New Roman"/>
          <w:color w:val="000000" w:themeColor="text1"/>
        </w:rPr>
        <w:t xml:space="preserve">Tomkinson, G. R., Lang, J. J., Blanchard, J., Léger, L. A., &amp; Tremblay, M. S. (2019). The 20-m shuttle run: Assessment and interpretation of data in relation to youth aerobic fitness and health. </w:t>
      </w:r>
      <w:r w:rsidRPr="001C5C41">
        <w:rPr>
          <w:rFonts w:cs="Times New Roman"/>
          <w:i/>
          <w:iCs/>
          <w:color w:val="000000" w:themeColor="text1"/>
        </w:rPr>
        <w:t>Pediatric Exercise Science</w:t>
      </w:r>
      <w:r w:rsidRPr="001C5C41">
        <w:rPr>
          <w:rFonts w:cs="Times New Roman"/>
          <w:color w:val="000000" w:themeColor="text1"/>
        </w:rPr>
        <w:t xml:space="preserve">, </w:t>
      </w:r>
      <w:r w:rsidRPr="001C5C41">
        <w:rPr>
          <w:rFonts w:cs="Times New Roman"/>
          <w:i/>
          <w:iCs/>
          <w:color w:val="000000" w:themeColor="text1"/>
        </w:rPr>
        <w:t>31</w:t>
      </w:r>
      <w:r w:rsidRPr="001C5C41">
        <w:rPr>
          <w:rFonts w:cs="Times New Roman"/>
          <w:color w:val="000000" w:themeColor="text1"/>
        </w:rPr>
        <w:t>(2), 152–163. https://doi.org/10.1123/pes.2018-0179</w:t>
      </w:r>
    </w:p>
    <w:p w14:paraId="36ADACA2" w14:textId="77777777" w:rsidR="00BB4CF6" w:rsidRPr="001C5C41" w:rsidRDefault="00000000" w:rsidP="001C5C41">
      <w:pPr>
        <w:ind w:left="720" w:hanging="720"/>
        <w:jc w:val="thaiDistribute"/>
        <w:rPr>
          <w:rFonts w:cs="Times New Roman"/>
          <w:color w:val="000000" w:themeColor="text1"/>
        </w:rPr>
      </w:pPr>
      <w:r w:rsidRPr="001C5C41">
        <w:rPr>
          <w:rFonts w:cs="Times New Roman"/>
          <w:color w:val="000000" w:themeColor="text1"/>
        </w:rPr>
        <w:t xml:space="preserve">Vaverka, F., Stromsik, P., Cerny, P., &amp; Gabryś, T. (2016). Badminton-specific agility assessment: Development and reliability of the Badcamp test. </w:t>
      </w:r>
      <w:r w:rsidRPr="001C5C41">
        <w:rPr>
          <w:rFonts w:cs="Times New Roman"/>
          <w:i/>
          <w:iCs/>
          <w:color w:val="000000" w:themeColor="text1"/>
        </w:rPr>
        <w:t>Journal of Human Kinetics</w:t>
      </w:r>
      <w:r w:rsidRPr="001C5C41">
        <w:rPr>
          <w:rFonts w:cs="Times New Roman"/>
          <w:color w:val="000000" w:themeColor="text1"/>
        </w:rPr>
        <w:t xml:space="preserve">, </w:t>
      </w:r>
      <w:r w:rsidRPr="001C5C41">
        <w:rPr>
          <w:rFonts w:cs="Times New Roman"/>
          <w:i/>
          <w:iCs/>
          <w:color w:val="000000" w:themeColor="text1"/>
        </w:rPr>
        <w:t>53</w:t>
      </w:r>
      <w:r w:rsidRPr="001C5C41">
        <w:rPr>
          <w:rFonts w:cs="Times New Roman"/>
          <w:color w:val="000000" w:themeColor="text1"/>
        </w:rPr>
        <w:t>(1), 175–182. https://doi.org/10.1515/hukin-2016-0022</w:t>
      </w:r>
    </w:p>
    <w:p w14:paraId="3FC49C04" w14:textId="1FFB62B5" w:rsidR="00BB4CF6" w:rsidRPr="001C5C41" w:rsidRDefault="00000000" w:rsidP="001C5C41">
      <w:pPr>
        <w:ind w:left="720" w:hanging="720"/>
        <w:jc w:val="thaiDistribute"/>
        <w:rPr>
          <w:rFonts w:cs="Times New Roman"/>
          <w:color w:val="000000" w:themeColor="text1"/>
        </w:rPr>
      </w:pPr>
      <w:r w:rsidRPr="001C5C41">
        <w:rPr>
          <w:rFonts w:cs="Times New Roman"/>
          <w:color w:val="000000" w:themeColor="text1"/>
        </w:rPr>
        <w:t xml:space="preserve">Wong, D. P., Ngan, O. C., &amp; Luk, T. H. (2021). Characteristics of on-court movements and match performance in competitive badminton. </w:t>
      </w:r>
      <w:r w:rsidRPr="001C5C41">
        <w:rPr>
          <w:rFonts w:cs="Times New Roman"/>
          <w:i/>
          <w:iCs/>
          <w:color w:val="000000" w:themeColor="text1"/>
        </w:rPr>
        <w:t>International Journal of Sport Physiology and Performance</w:t>
      </w:r>
      <w:r w:rsidRPr="001C5C41">
        <w:rPr>
          <w:rFonts w:cs="Times New Roman"/>
          <w:color w:val="000000" w:themeColor="text1"/>
        </w:rPr>
        <w:t xml:space="preserve">, </w:t>
      </w:r>
      <w:r w:rsidRPr="001C5C41">
        <w:rPr>
          <w:rFonts w:cs="Times New Roman"/>
          <w:i/>
          <w:iCs/>
          <w:color w:val="000000" w:themeColor="text1"/>
        </w:rPr>
        <w:t>16</w:t>
      </w:r>
      <w:r w:rsidRPr="001C5C41">
        <w:rPr>
          <w:rFonts w:cs="Times New Roman"/>
          <w:color w:val="000000" w:themeColor="text1"/>
        </w:rPr>
        <w:t>(8), 1185–119. https://doi.org/10.1123/ijspp.2020-</w:t>
      </w:r>
      <w:r w:rsidR="00CD3EA4" w:rsidRPr="001C5C41">
        <w:rPr>
          <w:rFonts w:cs="Times New Roman"/>
          <w:color w:val="000000" w:themeColor="text1"/>
        </w:rPr>
        <w:t>0558</w:t>
      </w:r>
    </w:p>
    <w:sectPr w:rsidR="00BB4CF6" w:rsidRPr="001C5C41" w:rsidSect="00AF34E3">
      <w:pgSz w:w="11906" w:h="16838"/>
      <w:pgMar w:top="1418" w:right="1134" w:bottom="1134"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7280B"/>
    <w:multiLevelType w:val="hybridMultilevel"/>
    <w:tmpl w:val="C840FD00"/>
    <w:lvl w:ilvl="0" w:tplc="B5982964">
      <w:start w:val="1"/>
      <w:numFmt w:val="bullet"/>
      <w:lvlText w:val="●"/>
      <w:lvlJc w:val="left"/>
      <w:pPr>
        <w:ind w:left="720" w:hanging="360"/>
      </w:pPr>
    </w:lvl>
    <w:lvl w:ilvl="1" w:tplc="6C5463B0">
      <w:start w:val="1"/>
      <w:numFmt w:val="bullet"/>
      <w:lvlText w:val="○"/>
      <w:lvlJc w:val="left"/>
      <w:pPr>
        <w:ind w:left="1440" w:hanging="360"/>
      </w:pPr>
    </w:lvl>
    <w:lvl w:ilvl="2" w:tplc="DD708B0C">
      <w:start w:val="1"/>
      <w:numFmt w:val="bullet"/>
      <w:lvlText w:val="■"/>
      <w:lvlJc w:val="left"/>
      <w:pPr>
        <w:ind w:left="2160" w:hanging="360"/>
      </w:pPr>
    </w:lvl>
    <w:lvl w:ilvl="3" w:tplc="F5101CF2">
      <w:start w:val="1"/>
      <w:numFmt w:val="bullet"/>
      <w:lvlText w:val="●"/>
      <w:lvlJc w:val="left"/>
      <w:pPr>
        <w:ind w:left="2880" w:hanging="360"/>
      </w:pPr>
    </w:lvl>
    <w:lvl w:ilvl="4" w:tplc="C700D822">
      <w:start w:val="1"/>
      <w:numFmt w:val="bullet"/>
      <w:lvlText w:val="○"/>
      <w:lvlJc w:val="left"/>
      <w:pPr>
        <w:ind w:left="3600" w:hanging="360"/>
      </w:pPr>
    </w:lvl>
    <w:lvl w:ilvl="5" w:tplc="39BC6876">
      <w:start w:val="1"/>
      <w:numFmt w:val="bullet"/>
      <w:lvlText w:val="■"/>
      <w:lvlJc w:val="left"/>
      <w:pPr>
        <w:ind w:left="4320" w:hanging="360"/>
      </w:pPr>
    </w:lvl>
    <w:lvl w:ilvl="6" w:tplc="E6B43B0C">
      <w:start w:val="1"/>
      <w:numFmt w:val="bullet"/>
      <w:lvlText w:val="●"/>
      <w:lvlJc w:val="left"/>
      <w:pPr>
        <w:ind w:left="5040" w:hanging="360"/>
      </w:pPr>
    </w:lvl>
    <w:lvl w:ilvl="7" w:tplc="9C446D48">
      <w:start w:val="1"/>
      <w:numFmt w:val="bullet"/>
      <w:lvlText w:val="●"/>
      <w:lvlJc w:val="left"/>
      <w:pPr>
        <w:ind w:left="5760" w:hanging="360"/>
      </w:pPr>
    </w:lvl>
    <w:lvl w:ilvl="8" w:tplc="00C27B0A">
      <w:start w:val="1"/>
      <w:numFmt w:val="bullet"/>
      <w:lvlText w:val="●"/>
      <w:lvlJc w:val="left"/>
      <w:pPr>
        <w:ind w:left="6480" w:hanging="360"/>
      </w:pPr>
    </w:lvl>
  </w:abstractNum>
  <w:num w:numId="1" w16cid:durableId="8971320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CF6"/>
    <w:rsid w:val="0004091A"/>
    <w:rsid w:val="001C5C41"/>
    <w:rsid w:val="00667C0E"/>
    <w:rsid w:val="00A95AD6"/>
    <w:rsid w:val="00AF34E3"/>
    <w:rsid w:val="00BB4CF6"/>
    <w:rsid w:val="00C017E6"/>
    <w:rsid w:val="00CD3EA4"/>
    <w:rsid w:val="00D96CFB"/>
  </w:rsids>
  <m:mathPr>
    <m:mathFont m:val="Cambria Math"/>
    <m:brkBin m:val="before"/>
    <m:brkBinSub m:val="--"/>
    <m:smallFrac m:val="0"/>
    <m:dispDef/>
    <m:lMargin m:val="0"/>
    <m:rMargin m:val="0"/>
    <m:defJc m:val="centerGroup"/>
    <m:wrapIndent m:val="1440"/>
    <m:intLim m:val="subSup"/>
    <m:naryLim m:val="undOvr"/>
  </m:mathPr>
  <w:themeFontLang w:val="en-TH"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15DBDFE2"/>
  <w15:docId w15:val="{EC259D82-667B-DA43-8ED5-D004BCF3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D96CFB"/>
    <w:rPr>
      <w:color w:val="605E5C"/>
      <w:shd w:val="clear" w:color="auto" w:fill="E1DFDD"/>
    </w:rPr>
  </w:style>
  <w:style w:type="table" w:styleId="TableGrid">
    <w:name w:val="Table Grid"/>
    <w:basedOn w:val="TableNormal"/>
    <w:uiPriority w:val="39"/>
    <w:rsid w:val="00AF3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519/JSC.00000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7310</Words>
  <Characters>21785</Characters>
  <Application>Microsoft Office Word</Application>
  <DocSecurity>0</DocSecurity>
  <Lines>640</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Mine Techophat</cp:lastModifiedBy>
  <cp:revision>3</cp:revision>
  <dcterms:created xsi:type="dcterms:W3CDTF">2026-03-29T03:02:00Z</dcterms:created>
  <dcterms:modified xsi:type="dcterms:W3CDTF">2026-03-29T10:09:00Z</dcterms:modified>
</cp:coreProperties>
</file>