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295498" w14:textId="77777777" w:rsidR="005B2B67" w:rsidRDefault="00000000">
      <w:pPr>
        <w:pStyle w:val="Heading3"/>
        <w:keepNext/>
        <w:keepLines/>
        <w:widowControl/>
        <w:autoSpaceDE/>
        <w:autoSpaceDN/>
        <w:ind w:left="0" w:right="24"/>
        <w:jc w:val="center"/>
        <w:rPr>
          <w:rFonts w:ascii="Times New Roman" w:hAnsi="Times New Roman" w:cs="Times New Roman"/>
          <w:sz w:val="24"/>
          <w:szCs w:val="24"/>
        </w:rPr>
      </w:pPr>
      <w:r>
        <w:rPr>
          <w:rFonts w:ascii="Times New Roman" w:hAnsi="Times New Roman" w:cs="Times New Roman" w:hint="eastAsia"/>
          <w:color w:val="0D0D0D"/>
          <w:sz w:val="28"/>
          <w:szCs w:val="28"/>
        </w:rPr>
        <w:t>DEVELOPING A GUIDELINE FOR PHYSICAL EDUCATION TEACHERS' COMPETENCY IN PRIVATE UNIVERSITIES IN GUANGDONG PROVINCE</w:t>
      </w:r>
    </w:p>
    <w:p w14:paraId="3045142A" w14:textId="77777777" w:rsidR="005B2B67" w:rsidRDefault="005B2B67">
      <w:pPr>
        <w:pStyle w:val="Heading3"/>
        <w:keepNext/>
        <w:keepLines/>
        <w:widowControl/>
        <w:autoSpaceDE/>
        <w:autoSpaceDN/>
        <w:ind w:left="0" w:right="24"/>
        <w:jc w:val="center"/>
        <w:rPr>
          <w:rFonts w:ascii="Times New Roman" w:hAnsi="Times New Roman" w:cs="Times New Roman"/>
          <w:sz w:val="24"/>
          <w:szCs w:val="24"/>
        </w:rPr>
      </w:pPr>
    </w:p>
    <w:p w14:paraId="7FF92D90" w14:textId="77777777" w:rsidR="005B2B67" w:rsidRDefault="00000000">
      <w:pPr>
        <w:pStyle w:val="Heading3"/>
        <w:keepNext/>
        <w:keepLines/>
        <w:widowControl/>
        <w:pBdr>
          <w:bottom w:val="single" w:sz="4" w:space="1" w:color="auto"/>
        </w:pBdr>
        <w:autoSpaceDE/>
        <w:autoSpaceDN/>
        <w:ind w:left="0" w:right="24"/>
        <w:jc w:val="right"/>
        <w:rPr>
          <w:rFonts w:ascii="Times New Roman" w:hAnsi="Times New Roman" w:cs="Times New Roman"/>
          <w:sz w:val="24"/>
          <w:szCs w:val="24"/>
        </w:rPr>
      </w:pPr>
      <w:r>
        <w:rPr>
          <w:rFonts w:ascii="Times New Roman" w:hAnsi="Times New Roman" w:cs="Times New Roman" w:hint="eastAsia"/>
          <w:sz w:val="24"/>
          <w:szCs w:val="24"/>
        </w:rPr>
        <w:t xml:space="preserve">Liao </w:t>
      </w:r>
      <w:proofErr w:type="spellStart"/>
      <w:r>
        <w:rPr>
          <w:rFonts w:ascii="Times New Roman" w:hAnsi="Times New Roman" w:cs="Times New Roman" w:hint="eastAsia"/>
          <w:sz w:val="24"/>
          <w:szCs w:val="24"/>
        </w:rPr>
        <w:t>Shiming</w:t>
      </w:r>
      <w:proofErr w:type="spellEnd"/>
      <w:r>
        <w:rPr>
          <w:rFonts w:ascii="Times New Roman" w:hAnsi="Times New Roman" w:cs="Times New Roman" w:hint="eastAsia"/>
          <w:sz w:val="24"/>
          <w:szCs w:val="24"/>
        </w:rPr>
        <w:t xml:space="preserve">, Preecha </w:t>
      </w:r>
      <w:proofErr w:type="spellStart"/>
      <w:r>
        <w:rPr>
          <w:rFonts w:ascii="Times New Roman" w:hAnsi="Times New Roman" w:cs="Times New Roman" w:hint="eastAsia"/>
          <w:sz w:val="24"/>
          <w:szCs w:val="24"/>
        </w:rPr>
        <w:t>Pongpeng</w:t>
      </w:r>
      <w:proofErr w:type="spellEnd"/>
    </w:p>
    <w:p w14:paraId="401E6AD8" w14:textId="0A271214" w:rsidR="005B2B67" w:rsidRDefault="00000000">
      <w:pPr>
        <w:pStyle w:val="Heading3"/>
        <w:keepNext/>
        <w:keepLines/>
        <w:widowControl/>
        <w:pBdr>
          <w:bottom w:val="single" w:sz="4" w:space="1" w:color="auto"/>
        </w:pBdr>
        <w:autoSpaceDE/>
        <w:autoSpaceDN/>
        <w:ind w:left="0" w:right="24"/>
        <w:jc w:val="right"/>
        <w:rPr>
          <w:rFonts w:ascii="Times New Roman" w:hAnsi="Times New Roman" w:cs="Times New Roman"/>
          <w:b w:val="0"/>
          <w:bCs w:val="0"/>
          <w:sz w:val="24"/>
          <w:szCs w:val="24"/>
        </w:rPr>
      </w:pPr>
      <w:r>
        <w:rPr>
          <w:rFonts w:ascii="Times New Roman" w:hAnsi="Times New Roman" w:cs="Times New Roman" w:hint="eastAsia"/>
          <w:b w:val="0"/>
          <w:bCs w:val="0"/>
          <w:sz w:val="24"/>
          <w:szCs w:val="24"/>
        </w:rPr>
        <w:t xml:space="preserve">Faculty of Sports Science and Technology, </w:t>
      </w:r>
      <w:proofErr w:type="spellStart"/>
      <w:r>
        <w:rPr>
          <w:rFonts w:ascii="Times New Roman" w:hAnsi="Times New Roman" w:cs="Times New Roman" w:hint="eastAsia"/>
          <w:b w:val="0"/>
          <w:bCs w:val="0"/>
          <w:sz w:val="24"/>
          <w:szCs w:val="24"/>
        </w:rPr>
        <w:t>Bangkokthonburi</w:t>
      </w:r>
      <w:proofErr w:type="spellEnd"/>
      <w:r>
        <w:rPr>
          <w:rFonts w:ascii="Times New Roman" w:hAnsi="Times New Roman" w:cs="Times New Roman" w:hint="eastAsia"/>
          <w:b w:val="0"/>
          <w:bCs w:val="0"/>
          <w:sz w:val="24"/>
          <w:szCs w:val="24"/>
        </w:rPr>
        <w:t xml:space="preserve"> University</w:t>
      </w:r>
    </w:p>
    <w:p w14:paraId="72427F30" w14:textId="77777777" w:rsidR="005B2B67" w:rsidRDefault="005B2B67">
      <w:pPr>
        <w:tabs>
          <w:tab w:val="right" w:pos="8289"/>
        </w:tabs>
        <w:ind w:left="-17"/>
        <w:rPr>
          <w:rFonts w:ascii="Times New Roman" w:hAnsi="Times New Roman" w:cs="Times New Roman"/>
          <w:b/>
        </w:rPr>
      </w:pPr>
    </w:p>
    <w:p w14:paraId="59683C2C" w14:textId="77777777" w:rsidR="005B2B67" w:rsidRDefault="00000000">
      <w:pPr>
        <w:tabs>
          <w:tab w:val="right" w:pos="8289"/>
        </w:tabs>
        <w:ind w:left="-17"/>
        <w:rPr>
          <w:rFonts w:ascii="Times New Roman" w:hAnsi="Times New Roman" w:cs="Times New Roman"/>
          <w:b/>
          <w:cs/>
          <w:lang w:bidi="th-TH"/>
        </w:rPr>
      </w:pPr>
      <w:r>
        <w:rPr>
          <w:rFonts w:ascii="Times New Roman" w:hAnsi="Times New Roman" w:cs="Times New Roman"/>
          <w:b/>
        </w:rPr>
        <w:t xml:space="preserve">Abstract: </w:t>
      </w:r>
    </w:p>
    <w:p w14:paraId="3D44C57E" w14:textId="77777777" w:rsidR="005B2B67" w:rsidRDefault="00000000">
      <w:pPr>
        <w:widowControl w:val="0"/>
        <w:tabs>
          <w:tab w:val="right" w:pos="8289"/>
        </w:tabs>
        <w:autoSpaceDE w:val="0"/>
        <w:autoSpaceDN w:val="0"/>
        <w:ind w:left="-17" w:firstLineChars="200" w:firstLine="480"/>
        <w:jc w:val="thaiDistribute"/>
        <w:rPr>
          <w:rFonts w:ascii="Times New Roman" w:hAnsi="Times New Roman" w:cs="Times New Roman"/>
          <w:color w:val="000000"/>
          <w:lang w:bidi="th-TH"/>
        </w:rPr>
      </w:pPr>
      <w:r>
        <w:rPr>
          <w:rFonts w:ascii="Times New Roman" w:hAnsi="Times New Roman" w:cs="Times New Roman"/>
          <w:color w:val="000000" w:themeColor="text1"/>
        </w:rPr>
        <w:tab/>
      </w:r>
      <w:r>
        <w:rPr>
          <w:rFonts w:ascii="Times New Roman" w:eastAsia="Times New Roman" w:hAnsi="Times New Roman" w:cs="Times New Roman" w:hint="eastAsia"/>
          <w:color w:val="000000"/>
          <w:lang w:val="en" w:bidi="th-TH"/>
        </w:rPr>
        <w:t>This research aims to develop a competency development guideline for physical education teachers in private universities in Guangdong Province, China. A mixed-methods approach was employed, integrating quantitative and qualitative data. The study involved a survey of 222 physical education teachers from 12 private universities, selected via proportional stratified sampling. Subsequently, in-depth interviews were conducted with seven experts, a focus group discussion with ten experts, and a final connoisseurship validation with seven experts. The Analytic Hierarchy Process (AHP) was used to weight competency dimensions. Findings reveal a medium-to-high overall competency level, with Professionalism scoring lowest (mean = 3.63). Key challenges include inadequate institutional support, limited resources, and weak professional development motivation. The validated guideline provides a systematic framework organized around six core action areas: Institutional Support &amp; Policy Optimization, Targeted Competency Development, Resource Sharing &amp; Collaborative Innovation, Technology Integration &amp; Pedagogical Innovation, Teacher Well-being &amp; Sustainable Development, and Continuous Quality Assurance. AHP results prioritized Student Conception (weight = 0.37) and Professionalism (weight = 0.27) as the most critical dimensions. This guideline offers an actionable framework for universities and teachers to enhance physical education teacher competency, ultimately improving teaching quality and student development.</w:t>
      </w:r>
      <w:r>
        <w:rPr>
          <w:rFonts w:ascii="Times New Roman" w:hAnsi="Times New Roman" w:cs="Times New Roman" w:hint="eastAsia"/>
          <w:color w:val="000000"/>
          <w:lang w:bidi="th-TH"/>
        </w:rPr>
        <w:t xml:space="preserve"> This research contributes both theoretically to competency literature in the private higher education context and practically by providing a concrete tool for educational stakeholders.</w:t>
      </w:r>
    </w:p>
    <w:p w14:paraId="12593A8F" w14:textId="77777777" w:rsidR="005B2B67" w:rsidRDefault="005B2B67">
      <w:pPr>
        <w:widowControl w:val="0"/>
        <w:tabs>
          <w:tab w:val="right" w:pos="8289"/>
        </w:tabs>
        <w:autoSpaceDE w:val="0"/>
        <w:autoSpaceDN w:val="0"/>
        <w:ind w:left="-17" w:firstLineChars="200" w:firstLine="480"/>
        <w:jc w:val="thaiDistribute"/>
        <w:rPr>
          <w:rFonts w:ascii="Times New Roman" w:eastAsia="Arial" w:hAnsi="Times New Roman" w:cs="Times New Roman"/>
          <w:color w:val="000000"/>
          <w:lang w:bidi="th-TH"/>
        </w:rPr>
      </w:pPr>
    </w:p>
    <w:p w14:paraId="042833E1" w14:textId="77777777" w:rsidR="005B2B67" w:rsidRDefault="00000000">
      <w:pPr>
        <w:tabs>
          <w:tab w:val="right" w:pos="8289"/>
        </w:tabs>
        <w:rPr>
          <w:rFonts w:ascii="Times New Roman" w:eastAsia="Times New Roman" w:hAnsi="Times New Roman" w:cs="Times New Roman"/>
          <w:color w:val="000000"/>
          <w:lang w:bidi="th-TH"/>
        </w:rPr>
      </w:pPr>
      <w:r>
        <w:rPr>
          <w:rFonts w:ascii="Times New Roman" w:eastAsia="Times New Roman" w:hAnsi="Times New Roman" w:cs="Times New Roman"/>
          <w:b/>
          <w:color w:val="000000"/>
          <w:lang w:bidi="th-TH"/>
        </w:rPr>
        <w:t xml:space="preserve">Keywords: </w:t>
      </w:r>
      <w:r>
        <w:rPr>
          <w:rFonts w:ascii="Times New Roman" w:eastAsia="Times New Roman" w:hAnsi="Times New Roman" w:cs="Times New Roman" w:hint="eastAsia"/>
          <w:color w:val="000000"/>
          <w:lang w:bidi="th-TH"/>
        </w:rPr>
        <w:t>Physical Education Teachers, Teacher Competency, Private Universities, Guideline Development, Guangdong Province</w:t>
      </w:r>
    </w:p>
    <w:p w14:paraId="42DB1852" w14:textId="77777777" w:rsidR="005B2B67" w:rsidRDefault="005B2B67">
      <w:pPr>
        <w:tabs>
          <w:tab w:val="right" w:pos="8289"/>
        </w:tabs>
        <w:rPr>
          <w:rFonts w:ascii="Times New Roman" w:eastAsia="Times New Roman" w:hAnsi="Times New Roman" w:cs="Times New Roman"/>
          <w:color w:val="000000"/>
          <w:lang w:bidi="th-TH"/>
        </w:rPr>
      </w:pPr>
    </w:p>
    <w:p w14:paraId="382844DB" w14:textId="77777777" w:rsidR="005B2B67" w:rsidRDefault="005B2B67">
      <w:pPr>
        <w:tabs>
          <w:tab w:val="right" w:pos="8289"/>
        </w:tabs>
        <w:rPr>
          <w:rFonts w:ascii="Times New Roman" w:eastAsia="Times New Roman" w:hAnsi="Times New Roman" w:cs="Times New Roman"/>
          <w:color w:val="000000"/>
          <w:lang w:bidi="th-TH"/>
        </w:rPr>
      </w:pPr>
    </w:p>
    <w:p w14:paraId="4E2631E7" w14:textId="77777777" w:rsidR="005B2B67" w:rsidRDefault="005B2B67">
      <w:pPr>
        <w:tabs>
          <w:tab w:val="right" w:pos="8289"/>
        </w:tabs>
        <w:rPr>
          <w:rFonts w:ascii="Times New Roman" w:eastAsia="Times New Roman" w:hAnsi="Times New Roman" w:cs="Times New Roman"/>
          <w:color w:val="000000"/>
          <w:lang w:bidi="th-TH"/>
        </w:rPr>
      </w:pPr>
    </w:p>
    <w:p w14:paraId="4E1FC4F2" w14:textId="77777777" w:rsidR="005B2B67" w:rsidRDefault="005B2B67">
      <w:pPr>
        <w:tabs>
          <w:tab w:val="right" w:pos="8289"/>
        </w:tabs>
        <w:rPr>
          <w:rFonts w:ascii="Times New Roman" w:eastAsia="Times New Roman" w:hAnsi="Times New Roman" w:cs="Times New Roman"/>
          <w:color w:val="000000"/>
          <w:lang w:bidi="th-TH"/>
        </w:rPr>
      </w:pPr>
    </w:p>
    <w:p w14:paraId="3BA30E5E" w14:textId="77777777" w:rsidR="005B2B67" w:rsidRDefault="005B2B67">
      <w:pPr>
        <w:tabs>
          <w:tab w:val="right" w:pos="8289"/>
        </w:tabs>
        <w:rPr>
          <w:rFonts w:ascii="Times New Roman" w:eastAsia="Times New Roman" w:hAnsi="Times New Roman" w:cs="Times New Roman"/>
          <w:color w:val="000000"/>
          <w:lang w:bidi="th-TH"/>
        </w:rPr>
      </w:pPr>
    </w:p>
    <w:p w14:paraId="19D74C53" w14:textId="77777777" w:rsidR="005B2B67" w:rsidRDefault="005B2B67">
      <w:pPr>
        <w:tabs>
          <w:tab w:val="right" w:pos="8289"/>
        </w:tabs>
        <w:rPr>
          <w:rFonts w:ascii="Times New Roman" w:eastAsia="Times New Roman" w:hAnsi="Times New Roman" w:cs="Times New Roman"/>
          <w:color w:val="000000"/>
          <w:lang w:bidi="th-TH"/>
        </w:rPr>
      </w:pPr>
    </w:p>
    <w:p w14:paraId="2411A1F3" w14:textId="77777777" w:rsidR="005B2B67" w:rsidRDefault="005B2B67">
      <w:pPr>
        <w:tabs>
          <w:tab w:val="right" w:pos="8289"/>
        </w:tabs>
        <w:rPr>
          <w:rFonts w:ascii="Times New Roman" w:eastAsia="Times New Roman" w:hAnsi="Times New Roman" w:cs="Times New Roman"/>
          <w:color w:val="000000"/>
          <w:lang w:bidi="th-TH"/>
        </w:rPr>
      </w:pPr>
    </w:p>
    <w:p w14:paraId="3D9E91C8" w14:textId="77777777" w:rsidR="005B2B67" w:rsidRDefault="005B2B67">
      <w:pPr>
        <w:tabs>
          <w:tab w:val="right" w:pos="8289"/>
        </w:tabs>
        <w:rPr>
          <w:rFonts w:ascii="Times New Roman" w:eastAsia="Times New Roman" w:hAnsi="Times New Roman" w:cs="Times New Roman"/>
          <w:color w:val="000000"/>
          <w:lang w:bidi="th-TH"/>
        </w:rPr>
      </w:pPr>
    </w:p>
    <w:p w14:paraId="76C8B869" w14:textId="77777777" w:rsidR="005B2B67" w:rsidRDefault="005B2B67">
      <w:pPr>
        <w:tabs>
          <w:tab w:val="right" w:pos="8289"/>
        </w:tabs>
        <w:rPr>
          <w:rFonts w:ascii="Times New Roman" w:eastAsia="Times New Roman" w:hAnsi="Times New Roman" w:cs="Times New Roman"/>
          <w:color w:val="000000"/>
          <w:lang w:bidi="th-TH"/>
        </w:rPr>
      </w:pPr>
    </w:p>
    <w:p w14:paraId="7011980C" w14:textId="77777777" w:rsidR="005B2B67" w:rsidRDefault="005B2B67">
      <w:pPr>
        <w:tabs>
          <w:tab w:val="right" w:pos="8289"/>
        </w:tabs>
        <w:rPr>
          <w:rFonts w:ascii="Times New Roman" w:eastAsia="Times New Roman" w:hAnsi="Times New Roman" w:cs="Times New Roman"/>
          <w:color w:val="000000"/>
          <w:lang w:bidi="th-TH"/>
        </w:rPr>
      </w:pPr>
    </w:p>
    <w:p w14:paraId="030F8E71" w14:textId="77777777" w:rsidR="005B2B67" w:rsidRDefault="005B2B67">
      <w:pPr>
        <w:tabs>
          <w:tab w:val="right" w:pos="8289"/>
        </w:tabs>
        <w:rPr>
          <w:rFonts w:ascii="Times New Roman" w:eastAsia="Times New Roman" w:hAnsi="Times New Roman" w:cs="Times New Roman"/>
          <w:color w:val="000000"/>
          <w:lang w:bidi="th-TH"/>
        </w:rPr>
      </w:pPr>
    </w:p>
    <w:p w14:paraId="313F563C" w14:textId="77777777" w:rsidR="005B2B67" w:rsidRDefault="005B2B67">
      <w:pPr>
        <w:tabs>
          <w:tab w:val="right" w:pos="8289"/>
        </w:tabs>
        <w:rPr>
          <w:rFonts w:ascii="Times New Roman" w:eastAsia="Times New Roman" w:hAnsi="Times New Roman" w:cs="Times New Roman"/>
          <w:color w:val="000000"/>
          <w:lang w:bidi="th-TH"/>
        </w:rPr>
      </w:pPr>
    </w:p>
    <w:p w14:paraId="31C18D1D" w14:textId="77777777" w:rsidR="005B2B67" w:rsidRDefault="005B2B67">
      <w:pPr>
        <w:tabs>
          <w:tab w:val="right" w:pos="8289"/>
        </w:tabs>
        <w:rPr>
          <w:rFonts w:ascii="Times New Roman" w:eastAsia="Times New Roman" w:hAnsi="Times New Roman" w:cs="Times New Roman"/>
          <w:color w:val="000000"/>
          <w:lang w:bidi="th-TH"/>
        </w:rPr>
      </w:pPr>
    </w:p>
    <w:p w14:paraId="361E5A00" w14:textId="77777777" w:rsidR="005B2B67" w:rsidRDefault="005B2B67">
      <w:pPr>
        <w:tabs>
          <w:tab w:val="right" w:pos="8289"/>
        </w:tabs>
        <w:rPr>
          <w:rFonts w:ascii="Times New Roman" w:eastAsia="Times New Roman" w:hAnsi="Times New Roman" w:cs="Times New Roman"/>
          <w:color w:val="000000"/>
          <w:lang w:bidi="th-TH"/>
        </w:rPr>
      </w:pPr>
    </w:p>
    <w:p w14:paraId="5025200B" w14:textId="77777777" w:rsidR="005B2B67" w:rsidRDefault="005B2B67">
      <w:pPr>
        <w:tabs>
          <w:tab w:val="right" w:pos="8289"/>
        </w:tabs>
        <w:rPr>
          <w:rFonts w:ascii="Times New Roman" w:eastAsia="Times New Roman" w:hAnsi="Times New Roman" w:cs="Times New Roman"/>
          <w:color w:val="000000"/>
          <w:lang w:bidi="th-TH"/>
        </w:rPr>
      </w:pPr>
    </w:p>
    <w:p w14:paraId="44AA0145" w14:textId="77777777" w:rsidR="005B2B67" w:rsidRDefault="005B2B67">
      <w:pPr>
        <w:tabs>
          <w:tab w:val="right" w:pos="8289"/>
        </w:tabs>
        <w:rPr>
          <w:rFonts w:ascii="Times New Roman" w:eastAsia="Times New Roman" w:hAnsi="Times New Roman" w:cs="Times New Roman"/>
          <w:color w:val="000000"/>
          <w:lang w:bidi="th-TH"/>
        </w:rPr>
      </w:pPr>
    </w:p>
    <w:p w14:paraId="2F154C0E" w14:textId="77777777" w:rsidR="005B2B67" w:rsidRDefault="005B2B67">
      <w:pPr>
        <w:tabs>
          <w:tab w:val="right" w:pos="8289"/>
        </w:tabs>
        <w:rPr>
          <w:rFonts w:ascii="Times New Roman" w:eastAsia="Times New Roman" w:hAnsi="Times New Roman" w:cs="Times New Roman"/>
          <w:color w:val="000000"/>
          <w:lang w:bidi="th-TH"/>
        </w:rPr>
      </w:pPr>
    </w:p>
    <w:p w14:paraId="22CBA8B4" w14:textId="77777777" w:rsidR="005B2B67" w:rsidRDefault="005B2B67">
      <w:pPr>
        <w:tabs>
          <w:tab w:val="right" w:pos="8289"/>
        </w:tabs>
        <w:rPr>
          <w:rFonts w:ascii="Times New Roman" w:eastAsia="Times New Roman" w:hAnsi="Times New Roman" w:cs="Times New Roman"/>
          <w:color w:val="000000"/>
          <w:lang w:bidi="th-TH"/>
        </w:rPr>
      </w:pPr>
    </w:p>
    <w:p w14:paraId="2DEC16F0" w14:textId="0C691B9D" w:rsidR="005B2B67" w:rsidRDefault="00000000">
      <w:pPr>
        <w:pBdr>
          <w:top w:val="single" w:sz="4" w:space="1" w:color="auto"/>
        </w:pBdr>
        <w:rPr>
          <w:rFonts w:ascii="Times New Roman" w:hAnsi="Times New Roman" w:cs="Times New Roman"/>
          <w:i/>
          <w:iCs/>
          <w:color w:val="000000" w:themeColor="text1"/>
          <w:sz w:val="22"/>
          <w:szCs w:val="22"/>
        </w:rPr>
      </w:pPr>
      <w:r>
        <w:rPr>
          <w:rFonts w:ascii="Times New Roman" w:hAnsi="Times New Roman" w:cs="Times New Roman"/>
          <w:i/>
          <w:iCs/>
          <w:color w:val="000000" w:themeColor="text1"/>
          <w:sz w:val="22"/>
          <w:szCs w:val="22"/>
        </w:rPr>
        <w:t xml:space="preserve">Corresponding Author: </w:t>
      </w:r>
      <w:r>
        <w:rPr>
          <w:rFonts w:ascii="Times New Roman" w:hAnsi="Times New Roman" w:cs="Times New Roman" w:hint="eastAsia"/>
          <w:i/>
          <w:iCs/>
          <w:color w:val="000000" w:themeColor="text1"/>
          <w:sz w:val="22"/>
          <w:szCs w:val="22"/>
        </w:rPr>
        <w:t xml:space="preserve">Liao </w:t>
      </w:r>
      <w:proofErr w:type="spellStart"/>
      <w:r>
        <w:rPr>
          <w:rFonts w:ascii="Times New Roman" w:hAnsi="Times New Roman" w:cs="Times New Roman" w:hint="eastAsia"/>
          <w:i/>
          <w:iCs/>
          <w:color w:val="000000" w:themeColor="text1"/>
          <w:sz w:val="22"/>
          <w:szCs w:val="22"/>
        </w:rPr>
        <w:t>Shiming</w:t>
      </w:r>
      <w:proofErr w:type="spellEnd"/>
      <w:r>
        <w:rPr>
          <w:rFonts w:ascii="Times New Roman" w:hAnsi="Times New Roman" w:cs="Times New Roman"/>
          <w:i/>
          <w:iCs/>
          <w:color w:val="000000" w:themeColor="text1"/>
          <w:sz w:val="22"/>
          <w:szCs w:val="22"/>
        </w:rPr>
        <w:t xml:space="preserve"> </w:t>
      </w:r>
      <w:proofErr w:type="spellStart"/>
      <w:r>
        <w:rPr>
          <w:rFonts w:ascii="Times New Roman" w:hAnsi="Times New Roman" w:cs="Times New Roman" w:hint="eastAsia"/>
          <w:i/>
          <w:color w:val="000000" w:themeColor="text1"/>
          <w:sz w:val="22"/>
          <w:szCs w:val="22"/>
        </w:rPr>
        <w:t>Bangkok</w:t>
      </w:r>
      <w:r w:rsidR="009C7C47">
        <w:rPr>
          <w:rFonts w:ascii="Times New Roman" w:hAnsi="Times New Roman" w:cs="Times New Roman"/>
          <w:i/>
          <w:color w:val="000000" w:themeColor="text1"/>
          <w:sz w:val="22"/>
          <w:szCs w:val="22"/>
        </w:rPr>
        <w:t>t</w:t>
      </w:r>
      <w:r>
        <w:rPr>
          <w:rFonts w:ascii="Times New Roman" w:hAnsi="Times New Roman" w:cs="Times New Roman" w:hint="eastAsia"/>
          <w:i/>
          <w:color w:val="000000" w:themeColor="text1"/>
          <w:sz w:val="22"/>
          <w:szCs w:val="22"/>
        </w:rPr>
        <w:t>honburi</w:t>
      </w:r>
      <w:proofErr w:type="spellEnd"/>
      <w:r>
        <w:rPr>
          <w:rFonts w:ascii="Times New Roman" w:hAnsi="Times New Roman" w:cs="Times New Roman" w:hint="eastAsia"/>
          <w:i/>
          <w:color w:val="000000" w:themeColor="text1"/>
          <w:sz w:val="22"/>
          <w:szCs w:val="22"/>
        </w:rPr>
        <w:t xml:space="preserve"> University,</w:t>
      </w:r>
      <w:r>
        <w:rPr>
          <w:rFonts w:ascii="Times New Roman" w:hAnsi="Times New Roman" w:cs="Times New Roman"/>
          <w:i/>
          <w:iCs/>
          <w:color w:val="000000" w:themeColor="text1"/>
          <w:sz w:val="22"/>
          <w:szCs w:val="22"/>
        </w:rPr>
        <w:t xml:space="preserve"> Email: </w:t>
      </w:r>
      <w:hyperlink r:id="rId8" w:history="1">
        <w:r w:rsidR="005B2B67">
          <w:rPr>
            <w:rStyle w:val="Hyperlink"/>
            <w:rFonts w:ascii="Times New Roman" w:hAnsi="Times New Roman" w:cs="Times New Roman" w:hint="eastAsia"/>
            <w:i/>
            <w:iCs/>
            <w:sz w:val="22"/>
            <w:szCs w:val="22"/>
          </w:rPr>
          <w:t>123713083@qq.com</w:t>
        </w:r>
      </w:hyperlink>
    </w:p>
    <w:p w14:paraId="3CD32FD6" w14:textId="77777777" w:rsidR="002D5CDC" w:rsidRPr="002D5CDC" w:rsidRDefault="002D5CDC" w:rsidP="002D5CDC">
      <w:pPr>
        <w:pStyle w:val="Heading3"/>
        <w:keepNext/>
        <w:keepLines/>
        <w:widowControl/>
        <w:autoSpaceDE/>
        <w:autoSpaceDN/>
        <w:ind w:left="0" w:right="24"/>
        <w:jc w:val="center"/>
        <w:rPr>
          <w:rFonts w:ascii="TH Sarabun New" w:eastAsia="SimSun" w:hAnsi="TH Sarabun New" w:cs="TH Sarabun New"/>
          <w:bCs w:val="0"/>
          <w:sz w:val="36"/>
          <w:szCs w:val="36"/>
          <w:lang w:eastAsia="zh-CN"/>
        </w:rPr>
      </w:pPr>
      <w:r w:rsidRPr="002D5CDC">
        <w:rPr>
          <w:rFonts w:ascii="TH Sarabun New" w:hAnsi="TH Sarabun New" w:cs="TH Sarabun New"/>
          <w:color w:val="0D0D0D"/>
          <w:sz w:val="36"/>
          <w:szCs w:val="36"/>
        </w:rPr>
        <w:lastRenderedPageBreak/>
        <w:t>การพัฒนาแนวทางสำหรับสมรรถนะของครูพลศึกษาในมหาวิทยาลัยเอกชนในมณฑลกวางตุ้ง</w:t>
      </w:r>
    </w:p>
    <w:p w14:paraId="2A670BA2" w14:textId="77777777" w:rsidR="005B2B67" w:rsidRDefault="005B2B67">
      <w:pPr>
        <w:pStyle w:val="Heading3"/>
        <w:keepNext/>
        <w:keepLines/>
        <w:widowControl/>
        <w:autoSpaceDE/>
        <w:autoSpaceDN/>
        <w:ind w:left="0" w:right="24"/>
        <w:jc w:val="center"/>
        <w:rPr>
          <w:rFonts w:ascii="Times New Roman" w:hAnsi="Times New Roman" w:cs="Times New Roman"/>
          <w:sz w:val="24"/>
          <w:szCs w:val="24"/>
        </w:rPr>
      </w:pPr>
    </w:p>
    <w:p w14:paraId="209346C5" w14:textId="66AD4AB8" w:rsidR="002D5CDC" w:rsidRPr="002D5CDC" w:rsidRDefault="002D5CDC" w:rsidP="002D5CDC">
      <w:pPr>
        <w:snapToGrid w:val="0"/>
        <w:jc w:val="right"/>
        <w:rPr>
          <w:rFonts w:ascii="TH Sarabun New" w:hAnsi="TH Sarabun New" w:cs="TH Sarabun New"/>
          <w:color w:val="000000" w:themeColor="text1"/>
          <w:sz w:val="32"/>
          <w:szCs w:val="32"/>
          <w:lang w:bidi="th-TH"/>
        </w:rPr>
      </w:pPr>
      <w:r w:rsidRPr="002D5CDC">
        <w:rPr>
          <w:rFonts w:ascii="TH Sarabun New" w:hAnsi="TH Sarabun New" w:cs="TH Sarabun New"/>
          <w:sz w:val="32"/>
          <w:szCs w:val="32"/>
          <w:cs/>
          <w:lang w:bidi="th-TH"/>
        </w:rPr>
        <w:t xml:space="preserve">เหลียว </w:t>
      </w:r>
      <w:proofErr w:type="spellStart"/>
      <w:r w:rsidRPr="002D5CDC">
        <w:rPr>
          <w:rFonts w:ascii="TH Sarabun New" w:hAnsi="TH Sarabun New" w:cs="TH Sarabun New"/>
          <w:sz w:val="32"/>
          <w:szCs w:val="32"/>
          <w:cs/>
          <w:lang w:bidi="th-TH"/>
        </w:rPr>
        <w:t>ฉื</w:t>
      </w:r>
      <w:proofErr w:type="spellEnd"/>
      <w:r w:rsidRPr="002D5CDC">
        <w:rPr>
          <w:rFonts w:ascii="TH Sarabun New" w:hAnsi="TH Sarabun New" w:cs="TH Sarabun New"/>
          <w:sz w:val="32"/>
          <w:szCs w:val="32"/>
          <w:cs/>
          <w:lang w:bidi="th-TH"/>
        </w:rPr>
        <w:t>อห</w:t>
      </w:r>
      <w:proofErr w:type="spellStart"/>
      <w:r w:rsidRPr="002D5CDC">
        <w:rPr>
          <w:rFonts w:ascii="TH Sarabun New" w:hAnsi="TH Sarabun New" w:cs="TH Sarabun New"/>
          <w:sz w:val="32"/>
          <w:szCs w:val="32"/>
          <w:cs/>
          <w:lang w:bidi="th-TH"/>
        </w:rPr>
        <w:t>มิง</w:t>
      </w:r>
      <w:proofErr w:type="spellEnd"/>
      <w:r w:rsidRPr="002D5CDC">
        <w:rPr>
          <w:rFonts w:ascii="TH Sarabun New" w:hAnsi="TH Sarabun New" w:cs="TH Sarabun New"/>
          <w:sz w:val="32"/>
          <w:szCs w:val="32"/>
          <w:cs/>
          <w:lang w:bidi="th-TH"/>
        </w:rPr>
        <w:t xml:space="preserve"> ปรีชา </w:t>
      </w:r>
      <w:proofErr w:type="spellStart"/>
      <w:r w:rsidRPr="002D5CDC">
        <w:rPr>
          <w:rFonts w:ascii="TH Sarabun New" w:hAnsi="TH Sarabun New" w:cs="TH Sarabun New"/>
          <w:sz w:val="32"/>
          <w:szCs w:val="32"/>
          <w:cs/>
          <w:lang w:bidi="th-TH"/>
        </w:rPr>
        <w:t>พงษ์</w:t>
      </w:r>
      <w:proofErr w:type="spellEnd"/>
      <w:r w:rsidRPr="002D5CDC">
        <w:rPr>
          <w:rFonts w:ascii="TH Sarabun New" w:hAnsi="TH Sarabun New" w:cs="TH Sarabun New"/>
          <w:sz w:val="32"/>
          <w:szCs w:val="32"/>
          <w:cs/>
          <w:lang w:bidi="th-TH"/>
        </w:rPr>
        <w:t>เพ็ง และ</w:t>
      </w:r>
      <w:proofErr w:type="spellStart"/>
      <w:r w:rsidRPr="002D5CDC">
        <w:rPr>
          <w:rFonts w:ascii="TH Sarabun New" w:hAnsi="TH Sarabun New" w:cs="TH Sarabun New"/>
          <w:sz w:val="32"/>
          <w:szCs w:val="32"/>
          <w:cs/>
        </w:rPr>
        <w:t>เอก</w:t>
      </w:r>
      <w:proofErr w:type="spellEnd"/>
      <w:r w:rsidRPr="002D5CDC">
        <w:rPr>
          <w:rFonts w:ascii="TH Sarabun New" w:hAnsi="TH Sarabun New" w:cs="TH Sarabun New"/>
          <w:sz w:val="32"/>
          <w:szCs w:val="32"/>
          <w:cs/>
        </w:rPr>
        <w:t xml:space="preserve"> </w:t>
      </w:r>
      <w:proofErr w:type="spellStart"/>
      <w:r w:rsidRPr="002D5CDC">
        <w:rPr>
          <w:rFonts w:ascii="TH Sarabun New" w:hAnsi="TH Sarabun New" w:cs="TH Sarabun New"/>
          <w:sz w:val="32"/>
          <w:szCs w:val="32"/>
          <w:cs/>
        </w:rPr>
        <w:t>เกิดเต็มภูมิ</w:t>
      </w:r>
      <w:proofErr w:type="spellEnd"/>
    </w:p>
    <w:p w14:paraId="69A855D8" w14:textId="29864F0C" w:rsidR="002D5CDC" w:rsidRPr="002D5CDC" w:rsidRDefault="002D5CDC" w:rsidP="002D5CDC">
      <w:pPr>
        <w:snapToGrid w:val="0"/>
        <w:jc w:val="right"/>
        <w:rPr>
          <w:rFonts w:ascii="TH Sarabun New" w:hAnsi="TH Sarabun New" w:cs="TH Sarabun New"/>
          <w:color w:val="000000" w:themeColor="text1"/>
          <w:sz w:val="32"/>
          <w:szCs w:val="32"/>
        </w:rPr>
      </w:pPr>
      <w:proofErr w:type="spellStart"/>
      <w:r w:rsidRPr="002D5CDC">
        <w:rPr>
          <w:rFonts w:ascii="TH Sarabun New" w:hAnsi="TH Sarabun New" w:cs="TH Sarabun New"/>
          <w:color w:val="000000" w:themeColor="text1"/>
          <w:sz w:val="32"/>
          <w:szCs w:val="32"/>
        </w:rPr>
        <w:t>คณะวิทยาศาสตร์และเทคโนโลยีทางกีฬา</w:t>
      </w:r>
      <w:proofErr w:type="spellEnd"/>
      <w:r w:rsidRPr="002D5CDC">
        <w:rPr>
          <w:rFonts w:ascii="TH Sarabun New" w:hAnsi="TH Sarabun New" w:cs="TH Sarabun New"/>
          <w:color w:val="000000" w:themeColor="text1"/>
          <w:sz w:val="32"/>
          <w:szCs w:val="32"/>
        </w:rPr>
        <w:t xml:space="preserve"> </w:t>
      </w:r>
      <w:proofErr w:type="spellStart"/>
      <w:r w:rsidRPr="002D5CDC">
        <w:rPr>
          <w:rFonts w:ascii="TH Sarabun New" w:hAnsi="TH Sarabun New" w:cs="TH Sarabun New"/>
          <w:color w:val="000000" w:themeColor="text1"/>
          <w:sz w:val="32"/>
          <w:szCs w:val="32"/>
        </w:rPr>
        <w:t>มหาวิทยาลัยกรุงเทพธนบุรี</w:t>
      </w:r>
      <w:proofErr w:type="spellEnd"/>
    </w:p>
    <w:p w14:paraId="7DD26867" w14:textId="0BFC2112" w:rsidR="002D5CDC" w:rsidRDefault="002D5CDC" w:rsidP="002D5CDC">
      <w:pPr>
        <w:widowControl w:val="0"/>
        <w:tabs>
          <w:tab w:val="right" w:pos="8289"/>
        </w:tabs>
        <w:autoSpaceDE w:val="0"/>
        <w:autoSpaceDN w:val="0"/>
        <w:jc w:val="thaiDistribute"/>
        <w:rPr>
          <w:rFonts w:ascii="TH Sarabun New" w:hAnsi="TH Sarabun New" w:cs="TH Sarabun New"/>
          <w:b/>
          <w:sz w:val="32"/>
          <w:szCs w:val="32"/>
          <w:lang w:bidi="th-TH"/>
        </w:rPr>
      </w:pPr>
      <w:r w:rsidRPr="001A4DBF">
        <w:rPr>
          <w:rFonts w:ascii="Times New Roman" w:hAnsi="Times New Roman" w:cs="Times New Roman"/>
          <w:noProof/>
          <w:color w:val="000000" w:themeColor="text1"/>
        </w:rPr>
        <mc:AlternateContent>
          <mc:Choice Requires="wps">
            <w:drawing>
              <wp:anchor distT="0" distB="0" distL="114300" distR="114300" simplePos="0" relativeHeight="251659264" behindDoc="0" locked="0" layoutInCell="1" allowOverlap="1" wp14:anchorId="628D675C" wp14:editId="65C31A9F">
                <wp:simplePos x="0" y="0"/>
                <wp:positionH relativeFrom="column">
                  <wp:posOffset>0</wp:posOffset>
                </wp:positionH>
                <wp:positionV relativeFrom="paragraph">
                  <wp:posOffset>-635</wp:posOffset>
                </wp:positionV>
                <wp:extent cx="5454127" cy="0"/>
                <wp:effectExtent l="0" t="0" r="6985" b="12700"/>
                <wp:wrapNone/>
                <wp:docPr id="1990364269" name="Straight Connector 1"/>
                <wp:cNvGraphicFramePr/>
                <a:graphic xmlns:a="http://schemas.openxmlformats.org/drawingml/2006/main">
                  <a:graphicData uri="http://schemas.microsoft.com/office/word/2010/wordprocessingShape">
                    <wps:wsp>
                      <wps:cNvCnPr/>
                      <wps:spPr>
                        <a:xfrm>
                          <a:off x="0" y="0"/>
                          <a:ext cx="5454127"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DA0E7B"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05pt" to="429.45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" strokecolor="black [3213]" strokeweight="1pt"/>
            </w:pict>
          </mc:Fallback>
        </mc:AlternateContent>
      </w:r>
    </w:p>
    <w:p w14:paraId="3BF245D9" w14:textId="0420EA8A" w:rsidR="002D5CDC" w:rsidRPr="002D5CDC" w:rsidRDefault="002D5CDC" w:rsidP="002D5CDC">
      <w:pPr>
        <w:widowControl w:val="0"/>
        <w:tabs>
          <w:tab w:val="right" w:pos="8289"/>
        </w:tabs>
        <w:autoSpaceDE w:val="0"/>
        <w:autoSpaceDN w:val="0"/>
        <w:jc w:val="thaiDistribute"/>
        <w:rPr>
          <w:rFonts w:ascii="TH Sarabun New" w:hAnsi="TH Sarabun New" w:cs="TH Sarabun New"/>
          <w:b/>
          <w:sz w:val="32"/>
          <w:szCs w:val="32"/>
        </w:rPr>
      </w:pPr>
      <w:r w:rsidRPr="002D5CDC">
        <w:rPr>
          <w:rFonts w:ascii="TH Sarabun New" w:hAnsi="TH Sarabun New" w:cs="TH Sarabun New"/>
          <w:b/>
          <w:sz w:val="32"/>
          <w:szCs w:val="32"/>
          <w:cs/>
          <w:lang w:bidi="th-TH"/>
        </w:rPr>
        <w:t>บทคัดย่อ:</w:t>
      </w:r>
    </w:p>
    <w:p w14:paraId="59CB75E1" w14:textId="7BC12696" w:rsidR="005B2B67" w:rsidRPr="002D5CDC" w:rsidRDefault="002D5CDC">
      <w:pPr>
        <w:widowControl w:val="0"/>
        <w:tabs>
          <w:tab w:val="right" w:pos="8289"/>
        </w:tabs>
        <w:autoSpaceDE w:val="0"/>
        <w:autoSpaceDN w:val="0"/>
        <w:ind w:left="-17" w:firstLineChars="200" w:firstLine="640"/>
        <w:jc w:val="thaiDistribute"/>
        <w:rPr>
          <w:rFonts w:ascii="TH Sarabun New" w:eastAsia="方正楷体简体" w:hAnsi="TH Sarabun New" w:cs="TH Sarabun New"/>
          <w:color w:val="000000"/>
          <w:sz w:val="32"/>
          <w:szCs w:val="32"/>
          <w:lang w:bidi="th-TH"/>
        </w:rPr>
      </w:pPr>
      <w:r w:rsidRPr="002D5CDC">
        <w:rPr>
          <w:rFonts w:ascii="TH Sarabun New" w:eastAsia="方正楷体简体" w:hAnsi="TH Sarabun New" w:cs="TH Sarabun New"/>
          <w:color w:val="000000" w:themeColor="text1"/>
          <w:sz w:val="32"/>
          <w:szCs w:val="32"/>
          <w:cs/>
          <w:lang w:bidi="th-TH"/>
        </w:rPr>
        <w:t xml:space="preserve">การวิจัยนี้มีวัตถุประสงค์เพื่อพัฒนาแนวทางการพัฒนาสมรรถนะสำหรับครูพลศึกษาในมหาวิทยาลัยเอกชนในมณฑลกวางตุ้ง ประเทศจีน โดยใช้วิธีการวิจัยแบบผสมผสานระหว่างข้อมูลเชิงปริมาณและเชิงคุณภาพ การวิจัยประกอบด้วยการสำรวจครูพลศึกษา </w:t>
      </w:r>
      <w:r w:rsidRPr="002D5CDC">
        <w:rPr>
          <w:rFonts w:ascii="TH Sarabun New" w:eastAsia="方正楷体简体" w:hAnsi="TH Sarabun New" w:cs="TH Sarabun New"/>
          <w:color w:val="000000" w:themeColor="text1"/>
          <w:sz w:val="32"/>
          <w:szCs w:val="32"/>
        </w:rPr>
        <w:t xml:space="preserve">222 </w:t>
      </w:r>
      <w:r w:rsidRPr="002D5CDC">
        <w:rPr>
          <w:rFonts w:ascii="TH Sarabun New" w:eastAsia="方正楷体简体" w:hAnsi="TH Sarabun New" w:cs="TH Sarabun New"/>
          <w:color w:val="000000" w:themeColor="text1"/>
          <w:sz w:val="32"/>
          <w:szCs w:val="32"/>
          <w:cs/>
          <w:lang w:bidi="th-TH"/>
        </w:rPr>
        <w:t xml:space="preserve">คนจากมหาวิทยาลัยเอกชน </w:t>
      </w:r>
      <w:r w:rsidRPr="002D5CDC">
        <w:rPr>
          <w:rFonts w:ascii="TH Sarabun New" w:eastAsia="方正楷体简体" w:hAnsi="TH Sarabun New" w:cs="TH Sarabun New"/>
          <w:color w:val="000000" w:themeColor="text1"/>
          <w:sz w:val="32"/>
          <w:szCs w:val="32"/>
        </w:rPr>
        <w:t xml:space="preserve">12 </w:t>
      </w:r>
      <w:r w:rsidRPr="002D5CDC">
        <w:rPr>
          <w:rFonts w:ascii="TH Sarabun New" w:eastAsia="方正楷体简体" w:hAnsi="TH Sarabun New" w:cs="TH Sarabun New"/>
          <w:color w:val="000000" w:themeColor="text1"/>
          <w:sz w:val="32"/>
          <w:szCs w:val="32"/>
          <w:cs/>
          <w:lang w:bidi="th-TH"/>
        </w:rPr>
        <w:t xml:space="preserve">แห่ง ซึ่งคัดเลือกโดยการสุ่มแบบแบ่งชั้นตามสัดส่วน ตามด้วยการสัมภาษณ์เชิงลึกกับผู้เชี่ยวชาญ </w:t>
      </w:r>
      <w:r w:rsidRPr="002D5CDC">
        <w:rPr>
          <w:rFonts w:ascii="TH Sarabun New" w:eastAsia="方正楷体简体" w:hAnsi="TH Sarabun New" w:cs="TH Sarabun New"/>
          <w:color w:val="000000" w:themeColor="text1"/>
          <w:sz w:val="32"/>
          <w:szCs w:val="32"/>
        </w:rPr>
        <w:t xml:space="preserve">7 </w:t>
      </w:r>
      <w:r w:rsidRPr="002D5CDC">
        <w:rPr>
          <w:rFonts w:ascii="TH Sarabun New" w:eastAsia="方正楷体简体" w:hAnsi="TH Sarabun New" w:cs="TH Sarabun New"/>
          <w:color w:val="000000" w:themeColor="text1"/>
          <w:sz w:val="32"/>
          <w:szCs w:val="32"/>
          <w:cs/>
          <w:lang w:bidi="th-TH"/>
        </w:rPr>
        <w:t xml:space="preserve">คน การสนทนากลุ่มกับผู้เชี่ยวชาญ </w:t>
      </w:r>
      <w:r w:rsidRPr="002D5CDC">
        <w:rPr>
          <w:rFonts w:ascii="TH Sarabun New" w:eastAsia="方正楷体简体" w:hAnsi="TH Sarabun New" w:cs="TH Sarabun New"/>
          <w:color w:val="000000" w:themeColor="text1"/>
          <w:sz w:val="32"/>
          <w:szCs w:val="32"/>
        </w:rPr>
        <w:t xml:space="preserve">10 </w:t>
      </w:r>
      <w:r w:rsidRPr="002D5CDC">
        <w:rPr>
          <w:rFonts w:ascii="TH Sarabun New" w:eastAsia="方正楷体简体" w:hAnsi="TH Sarabun New" w:cs="TH Sarabun New"/>
          <w:color w:val="000000" w:themeColor="text1"/>
          <w:sz w:val="32"/>
          <w:szCs w:val="32"/>
          <w:cs/>
          <w:lang w:bidi="th-TH"/>
        </w:rPr>
        <w:t xml:space="preserve">คน และการประเมินโดยผู้ทรงคุณวุฒิ </w:t>
      </w:r>
      <w:r w:rsidRPr="002D5CDC">
        <w:rPr>
          <w:rFonts w:ascii="TH Sarabun New" w:eastAsia="方正楷体简体" w:hAnsi="TH Sarabun New" w:cs="TH Sarabun New"/>
          <w:color w:val="000000" w:themeColor="text1"/>
          <w:sz w:val="32"/>
          <w:szCs w:val="32"/>
        </w:rPr>
        <w:t xml:space="preserve">7 </w:t>
      </w:r>
      <w:r w:rsidRPr="002D5CDC">
        <w:rPr>
          <w:rFonts w:ascii="TH Sarabun New" w:eastAsia="方正楷体简体" w:hAnsi="TH Sarabun New" w:cs="TH Sarabun New"/>
          <w:color w:val="000000" w:themeColor="text1"/>
          <w:sz w:val="32"/>
          <w:szCs w:val="32"/>
          <w:cs/>
          <w:lang w:bidi="th-TH"/>
        </w:rPr>
        <w:t>คน ใช้กระบวนการลำดับชั้นเชิงวิเคราะห์ (</w:t>
      </w:r>
      <w:r w:rsidRPr="002D5CDC">
        <w:rPr>
          <w:rFonts w:ascii="TH Sarabun New" w:eastAsia="方正楷体简体" w:hAnsi="TH Sarabun New" w:cs="TH Sarabun New"/>
          <w:color w:val="000000" w:themeColor="text1"/>
          <w:sz w:val="32"/>
          <w:szCs w:val="32"/>
        </w:rPr>
        <w:t xml:space="preserve">AHP) </w:t>
      </w:r>
      <w:r w:rsidRPr="002D5CDC">
        <w:rPr>
          <w:rFonts w:ascii="TH Sarabun New" w:eastAsia="方正楷体简体" w:hAnsi="TH Sarabun New" w:cs="TH Sarabun New"/>
          <w:color w:val="000000" w:themeColor="text1"/>
          <w:sz w:val="32"/>
          <w:szCs w:val="32"/>
          <w:cs/>
          <w:lang w:bidi="th-TH"/>
        </w:rPr>
        <w:t xml:space="preserve">ในการถ่วงน้ำหนักมิติสมรรถนะ ผลการวิจัยพบว่าระดับสมรรถนะโดยรวมอยู่ในระดับปานกลางถึงสูง โดยมิติความเป็นมืออาชีพมีคะแนนต่ำสุด (ค่าเฉลี่ย = </w:t>
      </w:r>
      <w:r w:rsidRPr="002D5CDC">
        <w:rPr>
          <w:rFonts w:ascii="TH Sarabun New" w:eastAsia="方正楷体简体" w:hAnsi="TH Sarabun New" w:cs="TH Sarabun New"/>
          <w:color w:val="000000" w:themeColor="text1"/>
          <w:sz w:val="32"/>
          <w:szCs w:val="32"/>
        </w:rPr>
        <w:t xml:space="preserve">3.63) </w:t>
      </w:r>
      <w:r w:rsidRPr="002D5CDC">
        <w:rPr>
          <w:rFonts w:ascii="TH Sarabun New" w:eastAsia="方正楷体简体" w:hAnsi="TH Sarabun New" w:cs="TH Sarabun New"/>
          <w:color w:val="000000" w:themeColor="text1"/>
          <w:sz w:val="32"/>
          <w:szCs w:val="32"/>
          <w:cs/>
          <w:lang w:bidi="th-TH"/>
        </w:rPr>
        <w:t xml:space="preserve">ความท้าทายหลัก ได้แก่ การสนับสนุนจากสถาบันไม่เพียงพอ ทรัพยากรจำกัด และแรงจูงใจในการพัฒนาวิชาชีพต่ำ แนวทางที่ผ่านการตรวจสอบประกอบด้วยกรอบการดำเนินงาน </w:t>
      </w:r>
      <w:r w:rsidRPr="002D5CDC">
        <w:rPr>
          <w:rFonts w:ascii="TH Sarabun New" w:eastAsia="方正楷体简体" w:hAnsi="TH Sarabun New" w:cs="TH Sarabun New"/>
          <w:color w:val="000000" w:themeColor="text1"/>
          <w:sz w:val="32"/>
          <w:szCs w:val="32"/>
        </w:rPr>
        <w:t xml:space="preserve">6 </w:t>
      </w:r>
      <w:r w:rsidRPr="002D5CDC">
        <w:rPr>
          <w:rFonts w:ascii="TH Sarabun New" w:eastAsia="方正楷体简体" w:hAnsi="TH Sarabun New" w:cs="TH Sarabun New"/>
          <w:color w:val="000000" w:themeColor="text1"/>
          <w:sz w:val="32"/>
          <w:szCs w:val="32"/>
          <w:cs/>
          <w:lang w:bidi="th-TH"/>
        </w:rPr>
        <w:t>ด้านหลัก ได้แก่ การสนับสนุนเชิงนโยบายและสถาบัน การพัฒนาสมรรถนะเฉพาะด้าน การแบ่งปันทรัพยากรและนวัตกรรมร่วมกัน การบูร</w:t>
      </w:r>
      <w:proofErr w:type="spellStart"/>
      <w:r w:rsidRPr="002D5CDC">
        <w:rPr>
          <w:rFonts w:ascii="TH Sarabun New" w:eastAsia="方正楷体简体" w:hAnsi="TH Sarabun New" w:cs="TH Sarabun New"/>
          <w:color w:val="000000" w:themeColor="text1"/>
          <w:sz w:val="32"/>
          <w:szCs w:val="32"/>
          <w:cs/>
          <w:lang w:bidi="th-TH"/>
        </w:rPr>
        <w:t>ณา</w:t>
      </w:r>
      <w:proofErr w:type="spellEnd"/>
      <w:r w:rsidRPr="002D5CDC">
        <w:rPr>
          <w:rFonts w:ascii="TH Sarabun New" w:eastAsia="方正楷体简体" w:hAnsi="TH Sarabun New" w:cs="TH Sarabun New"/>
          <w:color w:val="000000" w:themeColor="text1"/>
          <w:sz w:val="32"/>
          <w:szCs w:val="32"/>
          <w:cs/>
          <w:lang w:bidi="th-TH"/>
        </w:rPr>
        <w:t xml:space="preserve">การเทคโนโลยีและนวัตกรรมการสอน </w:t>
      </w:r>
      <w:proofErr w:type="spellStart"/>
      <w:r w:rsidRPr="002D5CDC">
        <w:rPr>
          <w:rFonts w:ascii="TH Sarabun New" w:eastAsia="方正楷体简体" w:hAnsi="TH Sarabun New" w:cs="TH Sarabun New"/>
          <w:color w:val="000000" w:themeColor="text1"/>
          <w:sz w:val="32"/>
          <w:szCs w:val="32"/>
          <w:cs/>
          <w:lang w:bidi="th-TH"/>
        </w:rPr>
        <w:t>สวัสดิ</w:t>
      </w:r>
      <w:proofErr w:type="spellEnd"/>
      <w:r w:rsidRPr="002D5CDC">
        <w:rPr>
          <w:rFonts w:ascii="TH Sarabun New" w:eastAsia="方正楷体简体" w:hAnsi="TH Sarabun New" w:cs="TH Sarabun New"/>
          <w:color w:val="000000" w:themeColor="text1"/>
          <w:sz w:val="32"/>
          <w:szCs w:val="32"/>
          <w:cs/>
          <w:lang w:bidi="th-TH"/>
        </w:rPr>
        <w:t xml:space="preserve">ภาพครูและการพัฒนาที่ยั่งยืน และการประกันคุณภาพอย่างต่อเนื่อง ผลการวิเคราะห์ </w:t>
      </w:r>
      <w:r w:rsidRPr="002D5CDC">
        <w:rPr>
          <w:rFonts w:ascii="TH Sarabun New" w:eastAsia="方正楷体简体" w:hAnsi="TH Sarabun New" w:cs="TH Sarabun New"/>
          <w:color w:val="000000" w:themeColor="text1"/>
          <w:sz w:val="32"/>
          <w:szCs w:val="32"/>
        </w:rPr>
        <w:t xml:space="preserve">AHP </w:t>
      </w:r>
      <w:r w:rsidRPr="002D5CDC">
        <w:rPr>
          <w:rFonts w:ascii="TH Sarabun New" w:eastAsia="方正楷体简体" w:hAnsi="TH Sarabun New" w:cs="TH Sarabun New"/>
          <w:color w:val="000000" w:themeColor="text1"/>
          <w:sz w:val="32"/>
          <w:szCs w:val="32"/>
          <w:cs/>
          <w:lang w:bidi="th-TH"/>
        </w:rPr>
        <w:t xml:space="preserve">ระบุว่ามิติการมองเห็นผู้เรียน (น้ำหนัก </w:t>
      </w:r>
      <w:r w:rsidRPr="002D5CDC">
        <w:rPr>
          <w:rFonts w:ascii="TH Sarabun New" w:eastAsia="方正楷体简体" w:hAnsi="TH Sarabun New" w:cs="TH Sarabun New"/>
          <w:color w:val="000000" w:themeColor="text1"/>
          <w:sz w:val="32"/>
          <w:szCs w:val="32"/>
        </w:rPr>
        <w:t xml:space="preserve">0.37) </w:t>
      </w:r>
      <w:r w:rsidRPr="002D5CDC">
        <w:rPr>
          <w:rFonts w:ascii="TH Sarabun New" w:eastAsia="方正楷体简体" w:hAnsi="TH Sarabun New" w:cs="TH Sarabun New"/>
          <w:color w:val="000000" w:themeColor="text1"/>
          <w:sz w:val="32"/>
          <w:szCs w:val="32"/>
          <w:cs/>
          <w:lang w:bidi="th-TH"/>
        </w:rPr>
        <w:t xml:space="preserve">และความเป็นมืออาชีพ (น้ำหนัก </w:t>
      </w:r>
      <w:r w:rsidRPr="002D5CDC">
        <w:rPr>
          <w:rFonts w:ascii="TH Sarabun New" w:eastAsia="方正楷体简体" w:hAnsi="TH Sarabun New" w:cs="TH Sarabun New"/>
          <w:color w:val="000000" w:themeColor="text1"/>
          <w:sz w:val="32"/>
          <w:szCs w:val="32"/>
        </w:rPr>
        <w:t xml:space="preserve">0.27) </w:t>
      </w:r>
      <w:r w:rsidRPr="002D5CDC">
        <w:rPr>
          <w:rFonts w:ascii="TH Sarabun New" w:eastAsia="方正楷体简体" w:hAnsi="TH Sarabun New" w:cs="TH Sarabun New"/>
          <w:color w:val="000000" w:themeColor="text1"/>
          <w:sz w:val="32"/>
          <w:szCs w:val="32"/>
          <w:cs/>
          <w:lang w:bidi="th-TH"/>
        </w:rPr>
        <w:t>มีความสำคัญสูงสุด แนวทางนี้นำเสนอกรอบปฏิบัติสำหรับมหาวิทยาลัยและครูในการยกระดับสมรรถนะของครูพลศึกษา ซึ่งจะนำไปสู่การพัฒนาคุณภาพการสอนและการพัฒนานักเรียนอย่างยั่งยืน.งานวิจัยนี้มีส่วนช่วยทั้งในเชิงทฤษฎีต่อองค์ความรู้ด้านสมรรถนะในบริบทของการอุดมศึกษาเอกชน และในเชิงปฏิบัติโดยการนำเสนอเครื่องมือที่เป็นรูปธรรมสำหรับผู้มีส่วนได้ส่วนเสียทางการศึกษา.</w:t>
      </w:r>
      <w:r w:rsidR="00000000" w:rsidRPr="002D5CDC">
        <w:rPr>
          <w:rFonts w:ascii="TH Sarabun New" w:eastAsia="方正楷体简体" w:hAnsi="TH Sarabun New" w:cs="TH Sarabun New"/>
          <w:color w:val="000000" w:themeColor="text1"/>
          <w:sz w:val="32"/>
          <w:szCs w:val="32"/>
        </w:rPr>
        <w:tab/>
      </w:r>
    </w:p>
    <w:p w14:paraId="6B5426C9" w14:textId="77777777" w:rsidR="005B2B67" w:rsidRPr="002D5CDC" w:rsidRDefault="005B2B67">
      <w:pPr>
        <w:widowControl w:val="0"/>
        <w:tabs>
          <w:tab w:val="right" w:pos="8289"/>
        </w:tabs>
        <w:autoSpaceDE w:val="0"/>
        <w:autoSpaceDN w:val="0"/>
        <w:ind w:left="-17" w:firstLineChars="200" w:firstLine="640"/>
        <w:jc w:val="thaiDistribute"/>
        <w:rPr>
          <w:rFonts w:ascii="TH Sarabun New" w:eastAsia="Arial" w:hAnsi="TH Sarabun New" w:cs="TH Sarabun New"/>
          <w:color w:val="000000"/>
          <w:sz w:val="32"/>
          <w:szCs w:val="32"/>
          <w:lang w:bidi="th-TH"/>
        </w:rPr>
      </w:pPr>
    </w:p>
    <w:p w14:paraId="5823C07B" w14:textId="77777777" w:rsidR="005B2B67" w:rsidRPr="002D5CDC" w:rsidRDefault="00000000">
      <w:pPr>
        <w:tabs>
          <w:tab w:val="right" w:pos="8289"/>
        </w:tabs>
        <w:rPr>
          <w:rFonts w:ascii="TH Sarabun New" w:eastAsia="Times New Roman" w:hAnsi="TH Sarabun New" w:cs="TH Sarabun New"/>
          <w:color w:val="000000"/>
          <w:sz w:val="32"/>
          <w:szCs w:val="32"/>
          <w:lang w:bidi="th-TH"/>
        </w:rPr>
      </w:pPr>
      <w:proofErr w:type="spellStart"/>
      <w:r w:rsidRPr="002D5CDC">
        <w:rPr>
          <w:rFonts w:ascii="TH Sarabun New" w:eastAsia="Times New Roman" w:hAnsi="TH Sarabun New" w:cs="TH Sarabun New"/>
          <w:b/>
          <w:color w:val="000000"/>
          <w:sz w:val="32"/>
          <w:szCs w:val="32"/>
          <w:lang w:bidi="th-TH"/>
        </w:rPr>
        <w:t>คำสำคัญ</w:t>
      </w:r>
      <w:proofErr w:type="spellEnd"/>
      <w:r w:rsidRPr="002D5CDC">
        <w:rPr>
          <w:rFonts w:ascii="TH Sarabun New" w:eastAsia="Times New Roman" w:hAnsi="TH Sarabun New" w:cs="TH Sarabun New"/>
          <w:b/>
          <w:color w:val="000000"/>
          <w:sz w:val="32"/>
          <w:szCs w:val="32"/>
          <w:lang w:bidi="th-TH"/>
        </w:rPr>
        <w:t xml:space="preserve">: </w:t>
      </w:r>
      <w:proofErr w:type="spellStart"/>
      <w:r w:rsidRPr="002D5CDC">
        <w:rPr>
          <w:rFonts w:ascii="TH Sarabun New" w:eastAsia="Times New Roman" w:hAnsi="TH Sarabun New" w:cs="TH Sarabun New"/>
          <w:color w:val="000000"/>
          <w:sz w:val="32"/>
          <w:szCs w:val="32"/>
          <w:lang w:bidi="th-TH"/>
        </w:rPr>
        <w:t>ครูพลศึกษา</w:t>
      </w:r>
      <w:proofErr w:type="spellEnd"/>
      <w:r w:rsidRPr="002D5CDC">
        <w:rPr>
          <w:rFonts w:ascii="TH Sarabun New" w:eastAsia="Times New Roman" w:hAnsi="TH Sarabun New" w:cs="TH Sarabun New"/>
          <w:color w:val="000000"/>
          <w:sz w:val="32"/>
          <w:szCs w:val="32"/>
          <w:lang w:bidi="th-TH"/>
        </w:rPr>
        <w:t xml:space="preserve">, </w:t>
      </w:r>
      <w:proofErr w:type="spellStart"/>
      <w:r w:rsidRPr="002D5CDC">
        <w:rPr>
          <w:rFonts w:ascii="TH Sarabun New" w:eastAsia="Times New Roman" w:hAnsi="TH Sarabun New" w:cs="TH Sarabun New"/>
          <w:color w:val="000000"/>
          <w:sz w:val="32"/>
          <w:szCs w:val="32"/>
          <w:lang w:bidi="th-TH"/>
        </w:rPr>
        <w:t>สมรรถนะครู</w:t>
      </w:r>
      <w:proofErr w:type="spellEnd"/>
      <w:r w:rsidRPr="002D5CDC">
        <w:rPr>
          <w:rFonts w:ascii="TH Sarabun New" w:eastAsia="Times New Roman" w:hAnsi="TH Sarabun New" w:cs="TH Sarabun New"/>
          <w:color w:val="000000"/>
          <w:sz w:val="32"/>
          <w:szCs w:val="32"/>
          <w:lang w:bidi="th-TH"/>
        </w:rPr>
        <w:t xml:space="preserve">, </w:t>
      </w:r>
      <w:proofErr w:type="spellStart"/>
      <w:r w:rsidRPr="002D5CDC">
        <w:rPr>
          <w:rFonts w:ascii="TH Sarabun New" w:eastAsia="Times New Roman" w:hAnsi="TH Sarabun New" w:cs="TH Sarabun New"/>
          <w:color w:val="000000"/>
          <w:sz w:val="32"/>
          <w:szCs w:val="32"/>
          <w:lang w:bidi="th-TH"/>
        </w:rPr>
        <w:t>มหาวิทยาลัยเอกชน</w:t>
      </w:r>
      <w:proofErr w:type="spellEnd"/>
      <w:r w:rsidRPr="002D5CDC">
        <w:rPr>
          <w:rFonts w:ascii="TH Sarabun New" w:eastAsia="Times New Roman" w:hAnsi="TH Sarabun New" w:cs="TH Sarabun New"/>
          <w:color w:val="000000"/>
          <w:sz w:val="32"/>
          <w:szCs w:val="32"/>
          <w:lang w:bidi="th-TH"/>
        </w:rPr>
        <w:t xml:space="preserve">, </w:t>
      </w:r>
      <w:proofErr w:type="spellStart"/>
      <w:r w:rsidRPr="002D5CDC">
        <w:rPr>
          <w:rFonts w:ascii="TH Sarabun New" w:eastAsia="Times New Roman" w:hAnsi="TH Sarabun New" w:cs="TH Sarabun New"/>
          <w:color w:val="000000"/>
          <w:sz w:val="32"/>
          <w:szCs w:val="32"/>
          <w:lang w:bidi="th-TH"/>
        </w:rPr>
        <w:t>การพัฒนาแนวทาง</w:t>
      </w:r>
      <w:proofErr w:type="spellEnd"/>
      <w:r w:rsidRPr="002D5CDC">
        <w:rPr>
          <w:rFonts w:ascii="TH Sarabun New" w:eastAsia="Times New Roman" w:hAnsi="TH Sarabun New" w:cs="TH Sarabun New"/>
          <w:color w:val="000000"/>
          <w:sz w:val="32"/>
          <w:szCs w:val="32"/>
          <w:lang w:bidi="th-TH"/>
        </w:rPr>
        <w:t xml:space="preserve">, </w:t>
      </w:r>
      <w:proofErr w:type="spellStart"/>
      <w:r w:rsidRPr="002D5CDC">
        <w:rPr>
          <w:rFonts w:ascii="TH Sarabun New" w:eastAsia="Times New Roman" w:hAnsi="TH Sarabun New" w:cs="TH Sarabun New"/>
          <w:color w:val="000000"/>
          <w:sz w:val="32"/>
          <w:szCs w:val="32"/>
          <w:lang w:bidi="th-TH"/>
        </w:rPr>
        <w:t>มณฑลกวางตุ้ง</w:t>
      </w:r>
      <w:proofErr w:type="spellEnd"/>
    </w:p>
    <w:p w14:paraId="0441D6CB" w14:textId="77777777" w:rsidR="005B2B67" w:rsidRDefault="005B2B67">
      <w:pPr>
        <w:tabs>
          <w:tab w:val="right" w:pos="8289"/>
        </w:tabs>
        <w:rPr>
          <w:rFonts w:ascii="Leelawadee UI" w:eastAsia="Times New Roman" w:hAnsi="Leelawadee UI" w:cs="Leelawadee UI"/>
          <w:color w:val="000000"/>
          <w:lang w:bidi="th-TH"/>
        </w:rPr>
      </w:pPr>
    </w:p>
    <w:p w14:paraId="11A3B1DE" w14:textId="77777777" w:rsidR="005B2B67" w:rsidRDefault="005B2B67">
      <w:pPr>
        <w:tabs>
          <w:tab w:val="right" w:pos="8289"/>
        </w:tabs>
        <w:rPr>
          <w:rFonts w:ascii="Times New Roman" w:eastAsia="Times New Roman" w:hAnsi="Times New Roman" w:cs="Times New Roman"/>
          <w:color w:val="000000"/>
          <w:lang w:bidi="th-TH"/>
        </w:rPr>
      </w:pPr>
    </w:p>
    <w:p w14:paraId="0BCFF83C" w14:textId="77777777" w:rsidR="005B2B67" w:rsidRDefault="005B2B67">
      <w:pPr>
        <w:tabs>
          <w:tab w:val="right" w:pos="8289"/>
        </w:tabs>
        <w:rPr>
          <w:rFonts w:ascii="Times New Roman" w:eastAsia="Times New Roman" w:hAnsi="Times New Roman" w:cs="Times New Roman"/>
          <w:color w:val="000000"/>
          <w:lang w:bidi="th-TH"/>
        </w:rPr>
      </w:pPr>
    </w:p>
    <w:p w14:paraId="33639D40" w14:textId="77777777" w:rsidR="005B2B67" w:rsidRDefault="005B2B67">
      <w:pPr>
        <w:tabs>
          <w:tab w:val="right" w:pos="8289"/>
        </w:tabs>
        <w:rPr>
          <w:rFonts w:ascii="Times New Roman" w:eastAsia="Times New Roman" w:hAnsi="Times New Roman" w:cs="Times New Roman"/>
          <w:color w:val="000000"/>
          <w:lang w:bidi="th-TH"/>
        </w:rPr>
      </w:pPr>
    </w:p>
    <w:p w14:paraId="0016686E" w14:textId="77777777" w:rsidR="005B2B67" w:rsidRDefault="005B2B67">
      <w:pPr>
        <w:tabs>
          <w:tab w:val="right" w:pos="8289"/>
        </w:tabs>
        <w:rPr>
          <w:rFonts w:ascii="Times New Roman" w:eastAsia="Times New Roman" w:hAnsi="Times New Roman" w:cs="Times New Roman"/>
          <w:color w:val="000000"/>
          <w:lang w:bidi="th-TH"/>
        </w:rPr>
      </w:pPr>
    </w:p>
    <w:p w14:paraId="63C9541F" w14:textId="77777777" w:rsidR="005B2B67" w:rsidRDefault="005B2B67">
      <w:pPr>
        <w:tabs>
          <w:tab w:val="right" w:pos="8289"/>
        </w:tabs>
        <w:rPr>
          <w:rFonts w:ascii="Times New Roman" w:eastAsia="Times New Roman" w:hAnsi="Times New Roman" w:cs="Times New Roman"/>
          <w:color w:val="000000"/>
          <w:lang w:bidi="th-TH"/>
        </w:rPr>
      </w:pPr>
    </w:p>
    <w:p w14:paraId="457F02DD" w14:textId="77777777" w:rsidR="005B2B67" w:rsidRDefault="005B2B67">
      <w:pPr>
        <w:tabs>
          <w:tab w:val="right" w:pos="8289"/>
        </w:tabs>
        <w:rPr>
          <w:rFonts w:ascii="Times New Roman" w:eastAsia="Times New Roman" w:hAnsi="Times New Roman" w:cs="Times New Roman"/>
          <w:color w:val="000000"/>
          <w:lang w:bidi="th-TH"/>
        </w:rPr>
      </w:pPr>
    </w:p>
    <w:p w14:paraId="6972D4B6" w14:textId="77777777" w:rsidR="005B2B67" w:rsidRDefault="005B2B67">
      <w:pPr>
        <w:tabs>
          <w:tab w:val="right" w:pos="8289"/>
        </w:tabs>
        <w:rPr>
          <w:rFonts w:ascii="Times New Roman" w:eastAsia="Times New Roman" w:hAnsi="Times New Roman" w:cs="Times New Roman"/>
          <w:color w:val="000000"/>
          <w:lang w:bidi="th-TH"/>
        </w:rPr>
      </w:pPr>
    </w:p>
    <w:p w14:paraId="24175FCB" w14:textId="77777777" w:rsidR="005B2B67" w:rsidRDefault="005B2B67">
      <w:pPr>
        <w:tabs>
          <w:tab w:val="right" w:pos="8289"/>
        </w:tabs>
        <w:rPr>
          <w:rFonts w:ascii="Times New Roman" w:hAnsi="Times New Roman" w:cs="Times New Roman"/>
          <w:color w:val="000000"/>
          <w:lang w:bidi="th-TH"/>
        </w:rPr>
      </w:pPr>
    </w:p>
    <w:p w14:paraId="14776FED" w14:textId="77777777" w:rsidR="005B2B67" w:rsidRDefault="005B2B67">
      <w:pPr>
        <w:tabs>
          <w:tab w:val="right" w:pos="8289"/>
        </w:tabs>
        <w:rPr>
          <w:rFonts w:ascii="Times New Roman" w:hAnsi="Times New Roman" w:cs="Times New Roman"/>
          <w:color w:val="000000"/>
          <w:lang w:bidi="th-TH"/>
        </w:rPr>
      </w:pPr>
    </w:p>
    <w:p w14:paraId="718E80ED" w14:textId="77777777" w:rsidR="005B2B67" w:rsidRDefault="005B2B67">
      <w:pPr>
        <w:tabs>
          <w:tab w:val="right" w:pos="8289"/>
        </w:tabs>
        <w:rPr>
          <w:rFonts w:ascii="Times New Roman" w:hAnsi="Times New Roman" w:cs="Times New Roman"/>
          <w:color w:val="000000"/>
          <w:lang w:bidi="th-TH"/>
        </w:rPr>
      </w:pPr>
    </w:p>
    <w:p w14:paraId="1F78EB36" w14:textId="77777777" w:rsidR="002D5CDC" w:rsidRDefault="002D5CDC">
      <w:pPr>
        <w:tabs>
          <w:tab w:val="right" w:pos="8289"/>
        </w:tabs>
        <w:rPr>
          <w:rFonts w:ascii="Times New Roman" w:eastAsia="Times New Roman" w:hAnsi="Times New Roman" w:cs="Times New Roman" w:hint="cs"/>
          <w:color w:val="000000"/>
          <w:lang w:bidi="th-TH"/>
        </w:rPr>
      </w:pPr>
    </w:p>
    <w:p w14:paraId="1D2F5EB9" w14:textId="77777777" w:rsidR="005B2B67" w:rsidRDefault="005B2B67">
      <w:pPr>
        <w:tabs>
          <w:tab w:val="right" w:pos="8289"/>
        </w:tabs>
        <w:rPr>
          <w:rFonts w:ascii="Times New Roman" w:eastAsia="Times New Roman" w:hAnsi="Times New Roman" w:cs="Times New Roman"/>
          <w:color w:val="000000"/>
          <w:lang w:bidi="th-TH"/>
        </w:rPr>
      </w:pPr>
    </w:p>
    <w:p w14:paraId="38CFCD65" w14:textId="77777777" w:rsidR="005B2B67" w:rsidRDefault="005B2B67">
      <w:pPr>
        <w:tabs>
          <w:tab w:val="right" w:pos="8289"/>
        </w:tabs>
        <w:rPr>
          <w:rFonts w:ascii="Times New Roman" w:eastAsia="Times New Roman" w:hAnsi="Times New Roman" w:cs="Times New Roman"/>
          <w:color w:val="000000"/>
          <w:lang w:bidi="th-TH"/>
        </w:rPr>
      </w:pPr>
    </w:p>
    <w:p w14:paraId="3A4DF988" w14:textId="77777777" w:rsidR="005B2B67" w:rsidRDefault="005B2B67">
      <w:pPr>
        <w:tabs>
          <w:tab w:val="right" w:pos="8289"/>
        </w:tabs>
        <w:rPr>
          <w:rFonts w:ascii="Times New Roman" w:eastAsia="Times New Roman" w:hAnsi="Times New Roman" w:cs="Times New Roman"/>
          <w:color w:val="000000"/>
          <w:lang w:bidi="th-TH"/>
        </w:rPr>
      </w:pPr>
    </w:p>
    <w:p w14:paraId="1CC9ADAB" w14:textId="77777777" w:rsidR="005B2B67" w:rsidRDefault="00000000">
      <w:pPr>
        <w:pBdr>
          <w:top w:val="single" w:sz="4" w:space="1" w:color="auto"/>
        </w:pBdr>
        <w:rPr>
          <w:rFonts w:ascii="Times New Roman" w:hAnsi="Times New Roman" w:cs="Times New Roman"/>
          <w:i/>
          <w:iCs/>
          <w:color w:val="000000" w:themeColor="text1"/>
          <w:sz w:val="21"/>
          <w:szCs w:val="21"/>
        </w:rPr>
        <w:sectPr w:rsidR="005B2B67" w:rsidSect="002D5CDC">
          <w:headerReference w:type="default" r:id="rId9"/>
          <w:footerReference w:type="default" r:id="rId10"/>
          <w:headerReference w:type="first" r:id="rId11"/>
          <w:footerReference w:type="first" r:id="rId12"/>
          <w:pgSz w:w="11910" w:h="16840"/>
          <w:pgMar w:top="1418" w:right="1134" w:bottom="1134" w:left="1418" w:header="720" w:footer="431" w:gutter="0"/>
          <w:pgNumType w:start="1"/>
          <w:cols w:space="720"/>
          <w:docGrid w:linePitch="326"/>
        </w:sectPr>
      </w:pPr>
      <w:r>
        <w:rPr>
          <w:rFonts w:ascii="Times New Roman" w:hAnsi="Times New Roman" w:cs="Times New Roman"/>
          <w:i/>
          <w:iCs/>
          <w:color w:val="000000" w:themeColor="text1"/>
          <w:sz w:val="22"/>
          <w:szCs w:val="22"/>
        </w:rPr>
        <w:t xml:space="preserve">Corresponding Author: </w:t>
      </w:r>
      <w:r>
        <w:rPr>
          <w:rFonts w:ascii="Times New Roman" w:hAnsi="Times New Roman" w:cs="Times New Roman" w:hint="eastAsia"/>
          <w:i/>
          <w:iCs/>
          <w:color w:val="000000" w:themeColor="text1"/>
          <w:sz w:val="22"/>
          <w:szCs w:val="22"/>
        </w:rPr>
        <w:t xml:space="preserve">Liao </w:t>
      </w:r>
      <w:proofErr w:type="spellStart"/>
      <w:r>
        <w:rPr>
          <w:rFonts w:ascii="Times New Roman" w:hAnsi="Times New Roman" w:cs="Times New Roman" w:hint="eastAsia"/>
          <w:i/>
          <w:iCs/>
          <w:color w:val="000000" w:themeColor="text1"/>
          <w:sz w:val="22"/>
          <w:szCs w:val="22"/>
        </w:rPr>
        <w:t>Shiming</w:t>
      </w:r>
      <w:proofErr w:type="spellEnd"/>
      <w:r>
        <w:rPr>
          <w:rFonts w:ascii="Times New Roman" w:hAnsi="Times New Roman" w:cs="Times New Roman"/>
          <w:i/>
          <w:iCs/>
          <w:color w:val="000000" w:themeColor="text1"/>
          <w:sz w:val="22"/>
          <w:szCs w:val="22"/>
        </w:rPr>
        <w:t xml:space="preserve"> </w:t>
      </w:r>
      <w:r>
        <w:rPr>
          <w:rFonts w:ascii="Times New Roman" w:hAnsi="Times New Roman" w:cs="Times New Roman" w:hint="eastAsia"/>
          <w:i/>
          <w:color w:val="000000" w:themeColor="text1"/>
          <w:sz w:val="22"/>
          <w:szCs w:val="22"/>
        </w:rPr>
        <w:t>Bangkok Thonburi University,</w:t>
      </w:r>
      <w:r>
        <w:rPr>
          <w:rFonts w:ascii="Times New Roman" w:hAnsi="Times New Roman" w:cs="Times New Roman"/>
          <w:i/>
          <w:iCs/>
          <w:color w:val="000000" w:themeColor="text1"/>
          <w:sz w:val="22"/>
          <w:szCs w:val="22"/>
        </w:rPr>
        <w:t xml:space="preserve"> Email: </w:t>
      </w:r>
      <w:r>
        <w:rPr>
          <w:rFonts w:ascii="Times New Roman" w:hAnsi="Times New Roman" w:cs="Times New Roman" w:hint="eastAsia"/>
          <w:i/>
          <w:iCs/>
          <w:color w:val="000000" w:themeColor="text1"/>
          <w:sz w:val="22"/>
          <w:szCs w:val="22"/>
        </w:rPr>
        <w:t>123713083@qq.com</w:t>
      </w:r>
    </w:p>
    <w:p w14:paraId="02273A61" w14:textId="77777777" w:rsidR="005B2B67" w:rsidRDefault="00000000">
      <w:pPr>
        <w:rPr>
          <w:rFonts w:ascii="Times New Roman" w:hAnsi="Times New Roman" w:cs="Times New Roman"/>
          <w:b/>
          <w:color w:val="000000" w:themeColor="text1"/>
        </w:rPr>
      </w:pPr>
      <w:r>
        <w:rPr>
          <w:rFonts w:ascii="Times New Roman" w:hAnsi="Times New Roman" w:cs="Times New Roman"/>
          <w:b/>
          <w:color w:val="000000" w:themeColor="text1"/>
        </w:rPr>
        <w:lastRenderedPageBreak/>
        <w:t>Introduction</w:t>
      </w:r>
    </w:p>
    <w:p w14:paraId="71359ED7"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bidi="th-TH"/>
        </w:rPr>
      </w:pPr>
      <w:r>
        <w:rPr>
          <w:rFonts w:ascii="Times New Roman" w:eastAsia="Times New Roman" w:hAnsi="Times New Roman" w:cs="Times New Roman" w:hint="eastAsia"/>
          <w:color w:val="000000"/>
          <w:lang w:bidi="th-TH"/>
        </w:rPr>
        <w:t xml:space="preserve">The development of teacher competency has become a strategic priority in China's educational reform. The Opinions on Comprehensively Deepening the Reform of the Construction of the Teaching Workforce in the New Era (State Council, 2018) emphasizes cultivating a high-quality, professional, and innovative teaching force. In the context of physical education, the Guiding Outline for Teaching Reform of Physical Education and Health (Ministry of Education, 2021) </w:t>
      </w:r>
      <w:proofErr w:type="gramStart"/>
      <w:r>
        <w:rPr>
          <w:rFonts w:ascii="Times New Roman" w:eastAsia="Times New Roman" w:hAnsi="Times New Roman" w:cs="Times New Roman" w:hint="eastAsia"/>
          <w:color w:val="000000"/>
          <w:lang w:bidi="th-TH"/>
        </w:rPr>
        <w:t>mandates</w:t>
      </w:r>
      <w:proofErr w:type="gramEnd"/>
      <w:r>
        <w:rPr>
          <w:rFonts w:ascii="Times New Roman" w:eastAsia="Times New Roman" w:hAnsi="Times New Roman" w:cs="Times New Roman" w:hint="eastAsia"/>
          <w:color w:val="000000"/>
          <w:lang w:bidi="th-TH"/>
        </w:rPr>
        <w:t xml:space="preserve"> a "health first" philosophy and promotes holistic student development through sports. At the provincial level, the Guangdong Province Action Plan for Comprehensively Strengthening and Improving School Sports Work in the New Era (Guangdong Provincial Department of Education, 2022) calls for enhanced training to elevate the professional competency of physical education teachers.</w:t>
      </w:r>
    </w:p>
    <w:p w14:paraId="1230852D"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bidi="th-TH"/>
        </w:rPr>
      </w:pPr>
      <w:r>
        <w:rPr>
          <w:rFonts w:ascii="Times New Roman" w:eastAsia="Times New Roman" w:hAnsi="Times New Roman" w:cs="Times New Roman" w:hint="eastAsia"/>
          <w:color w:val="000000"/>
          <w:lang w:bidi="th-TH"/>
        </w:rPr>
        <w:t>Despite these policy directives, physical education teachers in private universities face unique challenges. Compared to their public counterparts, they often encounter structural obstacles such as insufficient resource investment, lack of systematic training, weak research support, and unclear career progression paths (Liu, 2016; Du &amp; Peng, 2011). These factors severely constrain the enhancement of their professional competency, subsequently impacting the quality of physical education and student development.</w:t>
      </w:r>
    </w:p>
    <w:p w14:paraId="12F0E5F1" w14:textId="55174D50" w:rsidR="005B2B67" w:rsidRDefault="00000000">
      <w:pPr>
        <w:tabs>
          <w:tab w:val="right" w:pos="8289"/>
        </w:tabs>
        <w:ind w:firstLineChars="200" w:firstLine="480"/>
        <w:jc w:val="thaiDistribute"/>
        <w:rPr>
          <w:rFonts w:ascii="Times New Roman" w:eastAsia="Times New Roman" w:hAnsi="Times New Roman" w:cs="Times New Roman"/>
          <w:color w:val="000000"/>
          <w:lang w:bidi="th-TH"/>
        </w:rPr>
      </w:pPr>
      <w:r>
        <w:rPr>
          <w:rFonts w:ascii="Times New Roman" w:eastAsia="Times New Roman" w:hAnsi="Times New Roman" w:cs="Times New Roman" w:hint="eastAsia"/>
          <w:color w:val="000000"/>
          <w:lang w:bidi="th-TH"/>
        </w:rPr>
        <w:t>Guangdong Province, as one of China's most economically developed regions, hosts a significant concentration of private higher education institutions. According to the Guangdong Provincial Department of Education statistics (2023), there are over 50 private universities in Guangdong, enrolling approximately 600,000 students annually. These institutions employ more than 3,000 physical education teachers, making the professional development of this workforce a matter of considerable educational importance. The unique socio-economic context of Guangdong—characterized by its position as a manufacturing hub, its proximity to Hong Kong and Macau, and its role in the Greater Bay Area development initiative</w:t>
      </w:r>
      <w:r w:rsidR="001D74E2">
        <w:rPr>
          <w:rFonts w:ascii="Times New Roman" w:eastAsia="Times New Roman" w:hAnsi="Times New Roman" w:cs="Times New Roman"/>
          <w:color w:val="000000"/>
          <w:lang w:bidi="th-TH"/>
        </w:rPr>
        <w:t xml:space="preserve"> </w:t>
      </w:r>
      <w:r>
        <w:rPr>
          <w:rFonts w:ascii="Times New Roman" w:eastAsia="Times New Roman" w:hAnsi="Times New Roman" w:cs="Times New Roman" w:hint="eastAsia"/>
          <w:color w:val="000000"/>
          <w:lang w:bidi="th-TH"/>
        </w:rPr>
        <w:t xml:space="preserve">creates both opportunities and challenges for physical education. Students in this region often have diverse backgrounds, including children of migrant workers, </w:t>
      </w:r>
      <w:proofErr w:type="gramStart"/>
      <w:r>
        <w:rPr>
          <w:rFonts w:ascii="Times New Roman" w:eastAsia="Times New Roman" w:hAnsi="Times New Roman" w:cs="Times New Roman" w:hint="eastAsia"/>
          <w:color w:val="000000"/>
          <w:lang w:bidi="th-TH"/>
        </w:rPr>
        <w:t>local residents</w:t>
      </w:r>
      <w:proofErr w:type="gramEnd"/>
      <w:r>
        <w:rPr>
          <w:rFonts w:ascii="Times New Roman" w:eastAsia="Times New Roman" w:hAnsi="Times New Roman" w:cs="Times New Roman" w:hint="eastAsia"/>
          <w:color w:val="000000"/>
          <w:lang w:bidi="th-TH"/>
        </w:rPr>
        <w:t>, and increasingly, international students, requiring PE teachers to possess cross-cultural competency and adaptability. Furthermore, the rapid urbanization and changing lifestyle patterns in Guangdong have led to rising concerns about youth physical fitness, with recent provincial health surveys indicating that over 30% of college students do not meet recommended physical activity levels. This context underscores the urgent need for competent physical education teachers who can address these public health challenges while fostering lifelong physical activity habits.</w:t>
      </w:r>
    </w:p>
    <w:p w14:paraId="0571DA30" w14:textId="790D3411" w:rsidR="005B2B67" w:rsidRDefault="00000000">
      <w:pPr>
        <w:tabs>
          <w:tab w:val="right" w:pos="8289"/>
        </w:tabs>
        <w:ind w:firstLineChars="200" w:firstLine="480"/>
        <w:jc w:val="thaiDistribute"/>
        <w:rPr>
          <w:rFonts w:ascii="Times New Roman" w:eastAsia="Times New Roman" w:hAnsi="Times New Roman" w:cs="Times New Roman"/>
          <w:color w:val="000000"/>
          <w:lang w:bidi="th-TH"/>
        </w:rPr>
      </w:pPr>
      <w:r>
        <w:rPr>
          <w:rFonts w:ascii="Times New Roman" w:eastAsia="Times New Roman" w:hAnsi="Times New Roman" w:cs="Times New Roman" w:hint="eastAsia"/>
          <w:color w:val="000000"/>
          <w:lang w:bidi="th-TH"/>
        </w:rPr>
        <w:t xml:space="preserve">While competency frameworks exist in general education, there is a pronounced scarcity of research targeting physical education teachers in private universities, particularly in Guangdong </w:t>
      </w:r>
      <w:proofErr w:type="spellStart"/>
      <w:proofErr w:type="gramStart"/>
      <w:r>
        <w:rPr>
          <w:rFonts w:ascii="Times New Roman" w:eastAsia="Times New Roman" w:hAnsi="Times New Roman" w:cs="Times New Roman" w:hint="eastAsia"/>
          <w:color w:val="000000"/>
          <w:lang w:bidi="th-TH"/>
        </w:rPr>
        <w:t>Province</w:t>
      </w:r>
      <w:r w:rsidR="001D74E2">
        <w:rPr>
          <w:color w:val="000000"/>
          <w:lang w:bidi="th-TH"/>
        </w:rPr>
        <w:t>,</w:t>
      </w:r>
      <w:r>
        <w:rPr>
          <w:rFonts w:ascii="Times New Roman" w:eastAsia="Times New Roman" w:hAnsi="Times New Roman" w:cs="Times New Roman" w:hint="eastAsia"/>
          <w:color w:val="000000"/>
          <w:lang w:bidi="th-TH"/>
        </w:rPr>
        <w:t>a</w:t>
      </w:r>
      <w:proofErr w:type="spellEnd"/>
      <w:proofErr w:type="gramEnd"/>
      <w:r>
        <w:rPr>
          <w:rFonts w:ascii="Times New Roman" w:eastAsia="Times New Roman" w:hAnsi="Times New Roman" w:cs="Times New Roman" w:hint="eastAsia"/>
          <w:color w:val="000000"/>
          <w:lang w:bidi="th-TH"/>
        </w:rPr>
        <w:t xml:space="preserve"> region with a significant private higher education sector. This study aims to fill this gap by developing a context-specific, theoretically grounded, and methodologically rigorous competency development guideline.</w:t>
      </w:r>
    </w:p>
    <w:p w14:paraId="7A622197" w14:textId="77777777" w:rsidR="005B2B67" w:rsidRDefault="00000000">
      <w:pPr>
        <w:tabs>
          <w:tab w:val="right" w:pos="8289"/>
        </w:tabs>
        <w:ind w:firstLineChars="200" w:firstLine="480"/>
        <w:jc w:val="thaiDistribute"/>
        <w:rPr>
          <w:rFonts w:ascii="Times New Roman" w:eastAsia="Times New Roman" w:hAnsi="Times New Roman" w:cs="Times New Roman"/>
          <w:color w:val="000000" w:themeColor="text1"/>
          <w:lang w:bidi="th-TH"/>
        </w:rPr>
      </w:pPr>
      <w:r>
        <w:rPr>
          <w:rFonts w:ascii="Times New Roman" w:eastAsia="Times New Roman" w:hAnsi="Times New Roman" w:cs="Times New Roman" w:hint="eastAsia"/>
          <w:color w:val="000000"/>
          <w:lang w:bidi="th-TH"/>
        </w:rPr>
        <w:t>Grounded in McClelland's (1973) competency theory and Spencer &amp; Spencer's (1993) Iceberg Model, the research identifies five core competency dimensions: Knowledge &amp; Skills, Teaching Organization, Professionalism, Personality Traits, and Student Conception. Using a mixed-methods approach, the study investigates current competency levels, identifies key challenges, and constructs a validated guideline with prioritized action areas</w:t>
      </w:r>
      <w:r>
        <w:rPr>
          <w:rFonts w:ascii="Times New Roman" w:eastAsia="Times New Roman" w:hAnsi="Times New Roman" w:cs="Times New Roman"/>
          <w:color w:val="000000" w:themeColor="text1"/>
          <w:lang w:bidi="th-TH"/>
        </w:rPr>
        <w:t>.</w:t>
      </w:r>
    </w:p>
    <w:p w14:paraId="6C6A31AA" w14:textId="77777777" w:rsidR="005B2B67" w:rsidRDefault="00000000">
      <w:pPr>
        <w:tabs>
          <w:tab w:val="right" w:pos="8289"/>
        </w:tabs>
        <w:ind w:firstLineChars="200" w:firstLine="480"/>
        <w:jc w:val="thaiDistribute"/>
        <w:rPr>
          <w:rFonts w:ascii="Times New Roman" w:eastAsia="Times New Roman" w:hAnsi="Times New Roman" w:cs="Times New Roman"/>
          <w:color w:val="000000" w:themeColor="text1"/>
          <w:lang w:bidi="th-TH"/>
        </w:rPr>
      </w:pPr>
      <w:r>
        <w:rPr>
          <w:rFonts w:ascii="Times New Roman" w:eastAsia="Times New Roman" w:hAnsi="Times New Roman" w:cs="Times New Roman" w:hint="eastAsia"/>
          <w:color w:val="000000" w:themeColor="text1"/>
          <w:lang w:bidi="th-TH"/>
        </w:rPr>
        <w:t>The significance of this research extends beyond academic contribution to encompass practical implications for multiple stakeholders. For university administrators, the developed guideline provides a</w:t>
      </w:r>
      <w:r>
        <w:rPr>
          <w:rFonts w:ascii="Times New Roman" w:hAnsi="Times New Roman" w:cs="Times New Roman" w:hint="eastAsia"/>
          <w:color w:val="000000" w:themeColor="text1"/>
          <w:lang w:bidi="th-TH"/>
        </w:rPr>
        <w:t>n</w:t>
      </w:r>
      <w:r>
        <w:rPr>
          <w:rFonts w:ascii="Times New Roman" w:eastAsia="Times New Roman" w:hAnsi="Times New Roman" w:cs="Times New Roman" w:hint="eastAsia"/>
          <w:color w:val="000000" w:themeColor="text1"/>
          <w:lang w:bidi="th-TH"/>
        </w:rPr>
        <w:t xml:space="preserve"> evidence-based framework for resource allocation, faculty development planning, and performance evaluation systems. For physical education teachers, it offers a clear roadmap for professional growth, identifying specific competencies requiring development and suggesting concrete strategies for improvement. For students, ultimately, enhanced teacher competency translates into improved instructional quality, more engaging learning experiences, and better physical education outcomes. At the policy level, this research responds directly to the national call for educational modernization and the provincial emphasis on sports education reform, providing </w:t>
      </w:r>
      <w:proofErr w:type="gramStart"/>
      <w:r>
        <w:rPr>
          <w:rFonts w:ascii="Times New Roman" w:eastAsia="Times New Roman" w:hAnsi="Times New Roman" w:cs="Times New Roman" w:hint="eastAsia"/>
          <w:color w:val="000000" w:themeColor="text1"/>
          <w:lang w:bidi="th-TH"/>
        </w:rPr>
        <w:t>a</w:t>
      </w:r>
      <w:proofErr w:type="gramEnd"/>
      <w:r>
        <w:rPr>
          <w:rFonts w:ascii="Times New Roman" w:eastAsia="Times New Roman" w:hAnsi="Times New Roman" w:cs="Times New Roman" w:hint="eastAsia"/>
          <w:color w:val="000000" w:themeColor="text1"/>
          <w:lang w:bidi="th-TH"/>
        </w:rPr>
        <w:t xml:space="preserve"> actionable tool for implementing these directives at the institutional level. The </w:t>
      </w:r>
      <w:r>
        <w:rPr>
          <w:rFonts w:ascii="Times New Roman" w:eastAsia="Times New Roman" w:hAnsi="Times New Roman" w:cs="Times New Roman" w:hint="eastAsia"/>
          <w:color w:val="000000" w:themeColor="text1"/>
          <w:lang w:bidi="th-TH"/>
        </w:rPr>
        <w:lastRenderedPageBreak/>
        <w:t>focus on private universities is particularly timely, as this sector continues to expand and play an increasingly important role in China's higher education landscape, yet remains understudied compared to public institutions.</w:t>
      </w:r>
    </w:p>
    <w:p w14:paraId="4501D3B1" w14:textId="77777777" w:rsidR="005B2B67" w:rsidRDefault="005B2B67">
      <w:pPr>
        <w:rPr>
          <w:rFonts w:ascii="Times New Roman" w:hAnsi="Times New Roman" w:cs="Times New Roman"/>
          <w:b/>
          <w:color w:val="000000" w:themeColor="text1"/>
        </w:rPr>
      </w:pPr>
    </w:p>
    <w:p w14:paraId="44BC4A35" w14:textId="77777777" w:rsidR="005B2B67" w:rsidRDefault="00000000">
      <w:pPr>
        <w:rPr>
          <w:rFonts w:ascii="Times New Roman" w:hAnsi="Times New Roman" w:cs="Times New Roman"/>
          <w:b/>
          <w:color w:val="000000" w:themeColor="text1"/>
        </w:rPr>
      </w:pPr>
      <w:r>
        <w:rPr>
          <w:rFonts w:ascii="Times New Roman" w:hAnsi="Times New Roman" w:cs="Times New Roman"/>
          <w:b/>
          <w:color w:val="000000" w:themeColor="text1"/>
        </w:rPr>
        <w:t xml:space="preserve">Research </w:t>
      </w:r>
      <w:r>
        <w:rPr>
          <w:rFonts w:ascii="Times New Roman" w:hAnsi="Times New Roman" w:cs="Times New Roman" w:hint="eastAsia"/>
          <w:b/>
          <w:color w:val="000000" w:themeColor="text1"/>
        </w:rPr>
        <w:t>O</w:t>
      </w:r>
      <w:r>
        <w:rPr>
          <w:rFonts w:ascii="Times New Roman" w:hAnsi="Times New Roman" w:cs="Times New Roman"/>
          <w:b/>
          <w:color w:val="000000" w:themeColor="text1"/>
        </w:rPr>
        <w:t>bjective</w:t>
      </w:r>
    </w:p>
    <w:p w14:paraId="3F3872A0" w14:textId="77777777" w:rsidR="005B2B67" w:rsidRDefault="00000000">
      <w:pPr>
        <w:ind w:firstLineChars="200" w:firstLine="480"/>
        <w:rPr>
          <w:rFonts w:ascii="Times New Roman" w:hAnsi="Times New Roman" w:cs="Times New Roman"/>
          <w:color w:val="000000" w:themeColor="text1"/>
        </w:rPr>
      </w:pPr>
      <w:r>
        <w:rPr>
          <w:rFonts w:ascii="Times New Roman" w:hAnsi="Times New Roman" w:cs="Times New Roman" w:hint="eastAsia"/>
          <w:color w:val="0D0D0D"/>
          <w:shd w:val="clear" w:color="auto" w:fill="FFFFFF"/>
        </w:rPr>
        <w:t>To develop a scientifically grounded, systematically structured, and operationally feasible guideline for enhancing physical education teachers' competency in private universities in Guangdong Province, China</w:t>
      </w:r>
      <w:r>
        <w:rPr>
          <w:rFonts w:ascii="Times New Roman" w:hAnsi="Times New Roman" w:cs="Times New Roman"/>
          <w:color w:val="0D0D0D"/>
          <w:shd w:val="clear" w:color="auto" w:fill="FFFFFF"/>
        </w:rPr>
        <w:t>.</w:t>
      </w:r>
    </w:p>
    <w:p w14:paraId="14C0151F" w14:textId="77777777" w:rsidR="005B2B67" w:rsidRDefault="005B2B67">
      <w:pPr>
        <w:ind w:firstLineChars="200" w:firstLine="480"/>
        <w:rPr>
          <w:rFonts w:ascii="Times New Roman" w:hAnsi="Times New Roman" w:cs="Times New Roman"/>
          <w:color w:val="000000" w:themeColor="text1"/>
        </w:rPr>
      </w:pPr>
    </w:p>
    <w:p w14:paraId="1E21BF5B" w14:textId="77777777" w:rsidR="005B2B67" w:rsidRDefault="00000000">
      <w:pPr>
        <w:tabs>
          <w:tab w:val="right" w:pos="8289"/>
        </w:tabs>
        <w:rPr>
          <w:rFonts w:ascii="Times New Roman" w:eastAsia="Times New Roman" w:hAnsi="Times New Roman" w:cs="Times New Roman"/>
          <w:b/>
          <w:bCs/>
          <w:color w:val="000000" w:themeColor="text1"/>
          <w:lang w:bidi="th-TH"/>
        </w:rPr>
      </w:pPr>
      <w:r>
        <w:rPr>
          <w:rFonts w:ascii="Times New Roman" w:hAnsi="Times New Roman" w:cs="Times New Roman"/>
          <w:b/>
          <w:color w:val="000000" w:themeColor="text1"/>
        </w:rPr>
        <w:t>Research</w:t>
      </w:r>
      <w:r>
        <w:rPr>
          <w:rFonts w:ascii="Times New Roman" w:hAnsi="Times New Roman" w:cs="Times New Roman" w:hint="eastAsia"/>
          <w:b/>
          <w:color w:val="000000" w:themeColor="text1"/>
        </w:rPr>
        <w:t xml:space="preserve"> </w:t>
      </w:r>
      <w:r>
        <w:rPr>
          <w:rFonts w:ascii="Times New Roman" w:eastAsia="Times New Roman" w:hAnsi="Times New Roman" w:cs="Times New Roman"/>
          <w:b/>
          <w:bCs/>
          <w:color w:val="000000" w:themeColor="text1"/>
          <w:lang w:bidi="th-TH"/>
        </w:rPr>
        <w:t>Hypothesis</w:t>
      </w:r>
    </w:p>
    <w:p w14:paraId="49AFF420" w14:textId="77777777" w:rsidR="005B2B67" w:rsidRDefault="00000000">
      <w:pPr>
        <w:tabs>
          <w:tab w:val="right" w:pos="8289"/>
        </w:tabs>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color w:val="000000"/>
          <w:lang w:val="en" w:bidi="th-TH"/>
        </w:rPr>
        <w:t xml:space="preserve">         </w:t>
      </w:r>
      <w:r>
        <w:rPr>
          <w:rFonts w:ascii="Times New Roman" w:eastAsia="Times New Roman" w:hAnsi="Times New Roman" w:cs="Times New Roman" w:hint="eastAsia"/>
          <w:color w:val="000000"/>
          <w:lang w:val="en" w:bidi="th-TH"/>
        </w:rPr>
        <w:t>This study is exploratory and descriptive in nature; therefore, no formal hypotheses are tested. However, it is anticipated that the developed guideline will provide a practical framework for improving teacher competency in this specific context</w:t>
      </w:r>
      <w:r>
        <w:rPr>
          <w:rFonts w:ascii="Times New Roman" w:eastAsia="Times New Roman" w:hAnsi="Times New Roman" w:cs="Times New Roman"/>
          <w:color w:val="000000"/>
          <w:lang w:val="en" w:bidi="th-TH"/>
        </w:rPr>
        <w:t>.</w:t>
      </w:r>
    </w:p>
    <w:p w14:paraId="71DC1E2F" w14:textId="77777777" w:rsidR="005B2B67" w:rsidRDefault="005B2B67">
      <w:pPr>
        <w:ind w:firstLineChars="200" w:firstLine="482"/>
        <w:rPr>
          <w:rFonts w:ascii="Times New Roman" w:hAnsi="Times New Roman" w:cs="Times New Roman"/>
          <w:b/>
          <w:color w:val="000000" w:themeColor="text1"/>
        </w:rPr>
      </w:pPr>
    </w:p>
    <w:p w14:paraId="406E58FE" w14:textId="77777777" w:rsidR="005B2B67" w:rsidRDefault="00000000">
      <w:pPr>
        <w:rPr>
          <w:rFonts w:ascii="Times New Roman" w:hAnsi="Times New Roman" w:cs="Times New Roman"/>
          <w:b/>
          <w:color w:val="000000" w:themeColor="text1"/>
        </w:rPr>
      </w:pPr>
      <w:r>
        <w:rPr>
          <w:rFonts w:ascii="Times New Roman" w:hAnsi="Times New Roman" w:cs="Times New Roman"/>
          <w:b/>
          <w:color w:val="000000" w:themeColor="text1"/>
        </w:rPr>
        <w:t xml:space="preserve">Research </w:t>
      </w:r>
      <w:r>
        <w:rPr>
          <w:rFonts w:ascii="Times New Roman" w:hAnsi="Times New Roman" w:cs="Times New Roman" w:hint="eastAsia"/>
          <w:b/>
          <w:color w:val="000000" w:themeColor="text1"/>
        </w:rPr>
        <w:t>Methodology</w:t>
      </w:r>
    </w:p>
    <w:p w14:paraId="319FD70B"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A mixed-methods research design was employed, integrating quantitative and qualitative approaches. The study was conducted in six phases: (1) literature review and theoretical foundation; (2) investigation of current competency status through a survey; (3) preliminary guideline framework development based on survey findings and expert interviews; (4) guideline formulation and refinement through focus group discussion; (5) guideline validation through expert connoisseurship and Analytic Hierarchy Process (AHP); and (6) synthesis and reporting.</w:t>
      </w:r>
    </w:p>
    <w:p w14:paraId="653AA7EF" w14:textId="77777777" w:rsidR="005B2B67" w:rsidRDefault="005B2B67">
      <w:pPr>
        <w:tabs>
          <w:tab w:val="right" w:pos="8289"/>
        </w:tabs>
        <w:ind w:firstLineChars="200" w:firstLine="480"/>
        <w:jc w:val="thaiDistribute"/>
        <w:rPr>
          <w:rFonts w:ascii="Times New Roman" w:eastAsia="Times New Roman" w:hAnsi="Times New Roman" w:cs="Times New Roman"/>
          <w:color w:val="000000"/>
          <w:lang w:val="en" w:bidi="th-TH"/>
        </w:rPr>
      </w:pPr>
    </w:p>
    <w:p w14:paraId="649B59B7" w14:textId="77777777" w:rsidR="005B2B67" w:rsidRDefault="00000000">
      <w:pPr>
        <w:rPr>
          <w:rFonts w:ascii="Times New Roman" w:hAnsi="Times New Roman" w:cs="Times New Roman"/>
          <w:b/>
          <w:color w:val="000000" w:themeColor="text1"/>
        </w:rPr>
      </w:pPr>
      <w:r>
        <w:rPr>
          <w:rFonts w:ascii="Times New Roman" w:hAnsi="Times New Roman" w:cs="Times New Roman"/>
          <w:b/>
          <w:color w:val="000000" w:themeColor="text1"/>
        </w:rPr>
        <w:t>Population and Sample</w:t>
      </w:r>
    </w:p>
    <w:p w14:paraId="522BFF04"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The population comprised 498 physical education teachers from 12 private universities in Guangdong Province. The sample size for the teacher survey was calculated using Taro Yamane's formula with a 95% confidence level and a ±5% margin of error, yielding a minimum required sample of 222 teachers. Proportional stratified sampling was employed to ensure representativeness across the 12 universities. Within each stratum, individual teachers were selected using simple random sampling.</w:t>
      </w:r>
    </w:p>
    <w:p w14:paraId="778AAE28"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For the qualitative phases, purposive sampling was used to select experts: seven experts for in-depth interviews, ten for focus group discussion, and seven for connoisseurship validation. All experts had over 10 years of experience in physical education or higher education administration.</w:t>
      </w:r>
    </w:p>
    <w:p w14:paraId="03DF8EA5" w14:textId="77777777" w:rsidR="005B2B67" w:rsidRDefault="005B2B67">
      <w:pPr>
        <w:tabs>
          <w:tab w:val="right" w:pos="8289"/>
        </w:tabs>
        <w:ind w:firstLineChars="200" w:firstLine="480"/>
        <w:jc w:val="thaiDistribute"/>
        <w:rPr>
          <w:rFonts w:ascii="Times New Roman" w:eastAsia="Times New Roman" w:hAnsi="Times New Roman" w:cs="Times New Roman"/>
          <w:color w:val="000000"/>
          <w:lang w:val="en" w:bidi="th-TH"/>
        </w:rPr>
      </w:pPr>
    </w:p>
    <w:p w14:paraId="5CDEEC3F" w14:textId="77777777" w:rsidR="005B2B67" w:rsidRDefault="00000000">
      <w:pPr>
        <w:rPr>
          <w:rFonts w:ascii="Times New Roman" w:hAnsi="Times New Roman" w:cs="Times New Roman"/>
          <w:b/>
          <w:color w:val="000000" w:themeColor="text1"/>
        </w:rPr>
      </w:pPr>
      <w:r>
        <w:rPr>
          <w:rFonts w:ascii="Times New Roman" w:hAnsi="Times New Roman" w:cs="Times New Roman"/>
          <w:b/>
          <w:color w:val="000000" w:themeColor="text1"/>
        </w:rPr>
        <w:t>Research Instrument</w:t>
      </w:r>
    </w:p>
    <w:p w14:paraId="1A99FC27"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Four primary instruments were developed</w:t>
      </w:r>
      <w:r>
        <w:rPr>
          <w:rFonts w:ascii="Times New Roman" w:hAnsi="Times New Roman" w:cs="Times New Roman" w:hint="eastAsia"/>
          <w:color w:val="000000"/>
          <w:lang w:bidi="th-TH"/>
        </w:rPr>
        <w:t xml:space="preserve">: (1)a </w:t>
      </w:r>
      <w:r>
        <w:rPr>
          <w:rFonts w:ascii="Times New Roman" w:eastAsia="Times New Roman" w:hAnsi="Times New Roman" w:cs="Times New Roman" w:hint="eastAsia"/>
          <w:color w:val="000000"/>
          <w:lang w:val="en" w:bidi="th-TH"/>
        </w:rPr>
        <w:t>Survey Questionnaire on Teacher Competency</w:t>
      </w:r>
      <w:r>
        <w:rPr>
          <w:rFonts w:ascii="Times New Roman" w:hAnsi="Times New Roman" w:cs="Times New Roman" w:hint="eastAsia"/>
          <w:color w:val="000000"/>
          <w:lang w:bidi="th-TH"/>
        </w:rPr>
        <w:t>,</w:t>
      </w:r>
      <w:r>
        <w:rPr>
          <w:rFonts w:ascii="Times New Roman" w:eastAsia="Times New Roman" w:hAnsi="Times New Roman" w:cs="Times New Roman" w:hint="eastAsia"/>
          <w:color w:val="000000"/>
          <w:lang w:val="en" w:bidi="th-TH"/>
        </w:rPr>
        <w:t xml:space="preserve"> A structured questionnaire with 45 items rated on a five-point Likert scale, covering five competency dimensions. Content validity was established using the Index of Item-Objective Congruence (IOC) by three experts; items with IOC ≥ 0.60 were retained</w:t>
      </w:r>
      <w:r>
        <w:rPr>
          <w:rFonts w:ascii="Times New Roman" w:hAnsi="Times New Roman" w:cs="Times New Roman" w:hint="eastAsia"/>
          <w:color w:val="000000"/>
          <w:lang w:bidi="th-TH"/>
        </w:rPr>
        <w:t xml:space="preserve">; (2)a </w:t>
      </w:r>
      <w:r>
        <w:rPr>
          <w:rFonts w:ascii="Times New Roman" w:eastAsia="Times New Roman" w:hAnsi="Times New Roman" w:cs="Times New Roman" w:hint="eastAsia"/>
          <w:color w:val="000000"/>
          <w:lang w:val="en" w:bidi="th-TH"/>
        </w:rPr>
        <w:t>Semi-Structured Interview Protocol</w:t>
      </w:r>
      <w:r>
        <w:rPr>
          <w:rFonts w:ascii="Times New Roman" w:hAnsi="Times New Roman" w:cs="Times New Roman" w:hint="eastAsia"/>
          <w:color w:val="000000"/>
          <w:lang w:bidi="th-TH"/>
        </w:rPr>
        <w:t>,</w:t>
      </w:r>
      <w:r>
        <w:rPr>
          <w:rFonts w:ascii="Times New Roman" w:eastAsia="Times New Roman" w:hAnsi="Times New Roman" w:cs="Times New Roman" w:hint="eastAsia"/>
          <w:color w:val="000000"/>
          <w:lang w:val="en" w:bidi="th-TH"/>
        </w:rPr>
        <w:t xml:space="preserve"> Developed based on survey findings to explore systemic challenges and potential strategies. Validated by three experts using IOC</w:t>
      </w:r>
      <w:r>
        <w:rPr>
          <w:rFonts w:ascii="Times New Roman" w:hAnsi="Times New Roman" w:cs="Times New Roman" w:hint="eastAsia"/>
          <w:color w:val="000000"/>
          <w:lang w:bidi="th-TH"/>
        </w:rPr>
        <w:t xml:space="preserve">; (3)a </w:t>
      </w:r>
      <w:r>
        <w:rPr>
          <w:rFonts w:ascii="Times New Roman" w:eastAsia="Times New Roman" w:hAnsi="Times New Roman" w:cs="Times New Roman" w:hint="eastAsia"/>
          <w:color w:val="000000"/>
          <w:lang w:val="en" w:bidi="th-TH"/>
        </w:rPr>
        <w:t>Focus Group Discussion Guide</w:t>
      </w:r>
      <w:r>
        <w:rPr>
          <w:rFonts w:ascii="Times New Roman" w:hAnsi="Times New Roman" w:cs="Times New Roman" w:hint="eastAsia"/>
          <w:color w:val="000000"/>
          <w:lang w:bidi="th-TH"/>
        </w:rPr>
        <w:t>,</w:t>
      </w:r>
      <w:r>
        <w:rPr>
          <w:rFonts w:ascii="Times New Roman" w:eastAsia="Times New Roman" w:hAnsi="Times New Roman" w:cs="Times New Roman" w:hint="eastAsia"/>
          <w:color w:val="000000"/>
          <w:lang w:val="en" w:bidi="th-TH"/>
        </w:rPr>
        <w:t xml:space="preserve"> A structured guide to facilitate collaborative refinement of the draft guideline</w:t>
      </w:r>
      <w:r>
        <w:rPr>
          <w:rFonts w:ascii="Times New Roman" w:hAnsi="Times New Roman" w:cs="Times New Roman" w:hint="eastAsia"/>
          <w:color w:val="000000"/>
          <w:lang w:bidi="th-TH"/>
        </w:rPr>
        <w:t xml:space="preserve">; and (4)a </w:t>
      </w:r>
      <w:r>
        <w:rPr>
          <w:rFonts w:ascii="Times New Roman" w:eastAsia="Times New Roman" w:hAnsi="Times New Roman" w:cs="Times New Roman" w:hint="eastAsia"/>
          <w:color w:val="000000"/>
          <w:lang w:val="en" w:bidi="th-TH"/>
        </w:rPr>
        <w:t>Connoisseurship Evaluation Framework</w:t>
      </w:r>
      <w:r>
        <w:rPr>
          <w:rFonts w:ascii="Times New Roman" w:hAnsi="Times New Roman" w:cs="Times New Roman" w:hint="eastAsia"/>
          <w:color w:val="000000"/>
          <w:lang w:bidi="th-TH"/>
        </w:rPr>
        <w:t>,</w:t>
      </w:r>
      <w:r>
        <w:rPr>
          <w:rFonts w:ascii="Times New Roman" w:eastAsia="Times New Roman" w:hAnsi="Times New Roman" w:cs="Times New Roman" w:hint="eastAsia"/>
          <w:color w:val="000000"/>
          <w:lang w:val="en" w:bidi="th-TH"/>
        </w:rPr>
        <w:t xml:space="preserve"> A structured framework for expert validation of the final guideline, including qualitative assessment and AHP pairwise comparisons.</w:t>
      </w:r>
    </w:p>
    <w:p w14:paraId="7BCF2FC9"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 xml:space="preserve">The survey questionnaire was carefully structured to capture comprehensive data across the five competency dimensions. Section A collected demographic information including gender, age, professional title, years of teaching experience, and primary course type. Section B comprised 45 competency self-assessment items, with nine items per dimension, distributed as follows: Knowledge &amp; Skills (items 1-9) covering sports science knowledge, specialized sport proficiency, and technology application; Teaching Organization (items 10-18) addressing instructional design, classroom management, and assessment practices; Professionalism (items 19-27) exploring professional ethics, development willingness, and collaboration; Personality Traits (items 28-36) examining responsibility, communication, and adaptability; and Student </w:t>
      </w:r>
      <w:r>
        <w:rPr>
          <w:rFonts w:ascii="Times New Roman" w:eastAsia="Times New Roman" w:hAnsi="Times New Roman" w:cs="Times New Roman" w:hint="eastAsia"/>
          <w:color w:val="000000"/>
          <w:lang w:val="en" w:bidi="th-TH"/>
        </w:rPr>
        <w:lastRenderedPageBreak/>
        <w:t>Conception (items 37-45) investigating understanding of student development, individualized teaching approaches, and holistic education philosophy. Each item was carefully crafted based on an extensive literature review and pilot tested with a small sample of PE teachers to ensure clarity and relevance. The five-point Likert scale (1 = Strongly Disagree to 5 = Strongly Agree) was chosen to provide sufficient response variation while maintaining ease of completion.</w:t>
      </w:r>
    </w:p>
    <w:p w14:paraId="6026D76D" w14:textId="77777777" w:rsidR="005B2B67" w:rsidRDefault="005B2B67">
      <w:pPr>
        <w:tabs>
          <w:tab w:val="right" w:pos="8289"/>
        </w:tabs>
        <w:ind w:firstLineChars="200" w:firstLine="480"/>
        <w:jc w:val="thaiDistribute"/>
        <w:rPr>
          <w:rFonts w:ascii="Times New Roman" w:eastAsia="Times New Roman" w:hAnsi="Times New Roman" w:cs="Times New Roman"/>
          <w:color w:val="000000"/>
          <w:lang w:val="en" w:bidi="th-TH"/>
        </w:rPr>
      </w:pPr>
    </w:p>
    <w:p w14:paraId="516B6344" w14:textId="77777777" w:rsidR="005B2B67" w:rsidRDefault="00000000">
      <w:pPr>
        <w:rPr>
          <w:rFonts w:ascii="Times New Roman" w:hAnsi="Times New Roman" w:cs="Times New Roman"/>
          <w:b/>
          <w:color w:val="000000" w:themeColor="text1"/>
          <w:lang w:val="en"/>
        </w:rPr>
      </w:pPr>
      <w:r>
        <w:rPr>
          <w:rFonts w:ascii="Times New Roman" w:hAnsi="Times New Roman" w:cs="Times New Roman" w:hint="eastAsia"/>
          <w:b/>
          <w:color w:val="000000" w:themeColor="text1"/>
          <w:lang w:val="en"/>
        </w:rPr>
        <w:t>Validation of Research Instruments</w:t>
      </w:r>
    </w:p>
    <w:p w14:paraId="39CB192D"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 xml:space="preserve">All instruments were reviewed by three experts using the IOC method. The questionnaire achieved an average IOC of 0.92, indicating high content validity. The interview protocol also met the acceptable </w:t>
      </w:r>
      <w:proofErr w:type="spellStart"/>
      <w:proofErr w:type="gramStart"/>
      <w:r>
        <w:rPr>
          <w:rFonts w:ascii="Times New Roman" w:eastAsia="Times New Roman" w:hAnsi="Times New Roman" w:cs="Times New Roman" w:hint="eastAsia"/>
          <w:color w:val="000000"/>
          <w:lang w:val="en" w:bidi="th-TH"/>
        </w:rPr>
        <w:t>threshold.The</w:t>
      </w:r>
      <w:proofErr w:type="spellEnd"/>
      <w:proofErr w:type="gramEnd"/>
      <w:r>
        <w:rPr>
          <w:rFonts w:ascii="Times New Roman" w:eastAsia="Times New Roman" w:hAnsi="Times New Roman" w:cs="Times New Roman" w:hint="eastAsia"/>
          <w:color w:val="000000"/>
          <w:lang w:val="en" w:bidi="th-TH"/>
        </w:rPr>
        <w:t xml:space="preserve"> three experts who participated in the IOC evaluation were carefully selected based on their distinguished careers and expertise relevant to this research. Expert A, a Research Fellow from the Guangdong </w:t>
      </w:r>
      <w:proofErr w:type="spellStart"/>
      <w:r>
        <w:rPr>
          <w:rFonts w:ascii="Times New Roman" w:eastAsia="Times New Roman" w:hAnsi="Times New Roman" w:cs="Times New Roman" w:hint="eastAsia"/>
          <w:color w:val="000000"/>
          <w:lang w:val="en" w:bidi="th-TH"/>
        </w:rPr>
        <w:t>Ersha</w:t>
      </w:r>
      <w:proofErr w:type="spellEnd"/>
      <w:r>
        <w:rPr>
          <w:rFonts w:ascii="Times New Roman" w:eastAsia="Times New Roman" w:hAnsi="Times New Roman" w:cs="Times New Roman" w:hint="eastAsia"/>
          <w:color w:val="000000"/>
          <w:lang w:val="en" w:bidi="th-TH"/>
        </w:rPr>
        <w:t xml:space="preserve"> Sports Training Center, brings 25 years of experience in athlete development and coach education. Expert B, an Associate Research Fellow from the Guangdong Provincial Education Research Institute, has 20 years of experience specializing in private education policy and teacher development. Expert C, a Professor from Guangzhou Sport University, contributes 30 years of experience in physical education teacher preparation and curriculum development. The IOC evaluation process involved providing each expert with a detailed explanation of the research objectives and competency framework, followed by the questionnaire items and evaluation forms. Experts independently rated each item, and their ratings were subsequently analyzed using the formula IOC = (ΣR)/N, where ΣR represents the sum of expert ratings and N is the number of experts. Items achieving IOC ≥ 0.60 were retained, items scoring between 0.50-0.59 were revised based on expert feedback, and items scoring below 0.50 were eliminated. This rigorous process resulted in a final questionnaire with strong content validity, ensuring that each item accurately measured its intended competency dimension.</w:t>
      </w:r>
    </w:p>
    <w:p w14:paraId="232B0835" w14:textId="77777777" w:rsidR="005B2B67" w:rsidRDefault="005B2B67">
      <w:pPr>
        <w:tabs>
          <w:tab w:val="right" w:pos="8289"/>
        </w:tabs>
        <w:ind w:firstLineChars="200" w:firstLine="480"/>
        <w:jc w:val="thaiDistribute"/>
        <w:rPr>
          <w:rFonts w:ascii="Times New Roman" w:eastAsia="Times New Roman" w:hAnsi="Times New Roman" w:cs="Times New Roman"/>
          <w:color w:val="000000"/>
          <w:lang w:bidi="th-TH"/>
        </w:rPr>
      </w:pPr>
    </w:p>
    <w:p w14:paraId="70E1CB63" w14:textId="77777777" w:rsidR="005B2B67" w:rsidRDefault="00000000">
      <w:pPr>
        <w:rPr>
          <w:rFonts w:ascii="Times New Roman" w:hAnsi="Times New Roman" w:cs="Times New Roman"/>
          <w:b/>
          <w:color w:val="000000" w:themeColor="text1"/>
          <w:lang w:val="en"/>
        </w:rPr>
      </w:pPr>
      <w:r>
        <w:rPr>
          <w:rFonts w:ascii="Times New Roman" w:hAnsi="Times New Roman" w:cs="Times New Roman" w:hint="eastAsia"/>
          <w:b/>
          <w:color w:val="000000" w:themeColor="text1"/>
          <w:lang w:val="en"/>
        </w:rPr>
        <w:t>Protection of the Participants' Rights</w:t>
      </w:r>
    </w:p>
    <w:p w14:paraId="0A0ECE05"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 xml:space="preserve">This study was conducted in accordance with ethical research guidelines and received formal approval from the Research Ethics Committee (Social Sciences) of </w:t>
      </w:r>
      <w:proofErr w:type="spellStart"/>
      <w:r>
        <w:rPr>
          <w:rFonts w:ascii="Times New Roman" w:eastAsia="Times New Roman" w:hAnsi="Times New Roman" w:cs="Times New Roman" w:hint="eastAsia"/>
          <w:color w:val="000000"/>
          <w:lang w:val="en" w:bidi="th-TH"/>
        </w:rPr>
        <w:t>Bangkokthonburi</w:t>
      </w:r>
      <w:proofErr w:type="spellEnd"/>
      <w:r>
        <w:rPr>
          <w:rFonts w:ascii="Times New Roman" w:eastAsia="Times New Roman" w:hAnsi="Times New Roman" w:cs="Times New Roman" w:hint="eastAsia"/>
          <w:color w:val="000000"/>
          <w:lang w:val="en" w:bidi="th-TH"/>
        </w:rPr>
        <w:t xml:space="preserve"> University (Certificate No. 2568/454 (7), issued December 20, 2024). All participants provided informed consent, and data were kept confidential and anonymous.</w:t>
      </w:r>
    </w:p>
    <w:p w14:paraId="69E1958B" w14:textId="77777777" w:rsidR="005B2B67" w:rsidRDefault="005B2B67">
      <w:pPr>
        <w:tabs>
          <w:tab w:val="right" w:pos="8289"/>
        </w:tabs>
        <w:ind w:firstLineChars="200" w:firstLine="480"/>
        <w:jc w:val="thaiDistribute"/>
        <w:rPr>
          <w:rFonts w:ascii="Times New Roman" w:eastAsia="Times New Roman" w:hAnsi="Times New Roman" w:cs="Times New Roman"/>
          <w:color w:val="000000"/>
          <w:lang w:val="en" w:bidi="th-TH"/>
        </w:rPr>
      </w:pPr>
    </w:p>
    <w:p w14:paraId="4E5B9891" w14:textId="77777777" w:rsidR="005B2B67" w:rsidRDefault="00000000">
      <w:pPr>
        <w:rPr>
          <w:rFonts w:ascii="Times New Roman" w:hAnsi="Times New Roman" w:cs="Times New Roman"/>
          <w:b/>
          <w:color w:val="000000" w:themeColor="text1"/>
          <w:lang w:val="en"/>
        </w:rPr>
      </w:pPr>
      <w:r>
        <w:rPr>
          <w:rFonts w:ascii="Times New Roman" w:hAnsi="Times New Roman" w:cs="Times New Roman" w:hint="eastAsia"/>
          <w:b/>
          <w:color w:val="000000" w:themeColor="text1"/>
          <w:lang w:val="en"/>
        </w:rPr>
        <w:t>Data Collection</w:t>
      </w:r>
    </w:p>
    <w:p w14:paraId="62D8BD62"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Data collection proceeded sequentially:</w:t>
      </w:r>
    </w:p>
    <w:p w14:paraId="4FB31722"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Survey: Distributed to 222 teachers across 12 universities; all responses were valid.</w:t>
      </w:r>
    </w:p>
    <w:p w14:paraId="46E72AE8"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Expert Interviews: Conducted face-to-face with seven experts; each interview lasted 60–90 minutes.</w:t>
      </w:r>
    </w:p>
    <w:p w14:paraId="369AFBAF"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Focus Group Discussion: A 3-hour session with ten experts to refine the draft guideline.</w:t>
      </w:r>
    </w:p>
    <w:p w14:paraId="7B528EB8"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Connoisseurship Validation: Seven experts evaluated the guideline's quality and completed AHP pairwise comparison questionnaires.</w:t>
      </w:r>
    </w:p>
    <w:p w14:paraId="203C17DF" w14:textId="77777777" w:rsidR="005B2B67" w:rsidRDefault="005B2B67">
      <w:pPr>
        <w:tabs>
          <w:tab w:val="right" w:pos="8289"/>
        </w:tabs>
        <w:ind w:firstLineChars="200" w:firstLine="480"/>
        <w:jc w:val="thaiDistribute"/>
        <w:rPr>
          <w:rFonts w:ascii="Times New Roman" w:eastAsia="Times New Roman" w:hAnsi="Times New Roman" w:cs="Times New Roman"/>
          <w:color w:val="000000"/>
          <w:lang w:val="en" w:bidi="th-TH"/>
        </w:rPr>
      </w:pPr>
    </w:p>
    <w:p w14:paraId="61E33615" w14:textId="77777777" w:rsidR="005B2B67" w:rsidRDefault="00000000">
      <w:pPr>
        <w:rPr>
          <w:rFonts w:ascii="Times New Roman" w:hAnsi="Times New Roman" w:cs="Times New Roman"/>
          <w:b/>
          <w:color w:val="000000" w:themeColor="text1"/>
          <w:lang w:val="en"/>
        </w:rPr>
      </w:pPr>
      <w:r>
        <w:rPr>
          <w:rFonts w:ascii="Times New Roman" w:hAnsi="Times New Roman" w:cs="Times New Roman" w:hint="eastAsia"/>
          <w:b/>
          <w:color w:val="000000" w:themeColor="text1"/>
          <w:lang w:val="en"/>
        </w:rPr>
        <w:t>Data Analysis</w:t>
      </w:r>
    </w:p>
    <w:p w14:paraId="327B3122"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Quantitative data were analyzed using descriptive statistics (mean, standard deviation) and Pearson correlation. Qualitative data from interviews and focus groups were analyzed using thematic content analysis. AHP was used to calculate the relative weights of competency dimensions, with consistency ratios checked (CR &lt; 0.10).</w:t>
      </w:r>
    </w:p>
    <w:p w14:paraId="5BE07A25" w14:textId="77777777" w:rsidR="005B2B67" w:rsidRDefault="005B2B67">
      <w:pPr>
        <w:tabs>
          <w:tab w:val="right" w:pos="8289"/>
        </w:tabs>
        <w:ind w:firstLineChars="200" w:firstLine="480"/>
        <w:jc w:val="thaiDistribute"/>
        <w:rPr>
          <w:rFonts w:ascii="Times New Roman" w:eastAsia="Times New Roman" w:hAnsi="Times New Roman" w:cs="Times New Roman"/>
          <w:color w:val="000000"/>
          <w:lang w:val="en" w:bidi="th-TH"/>
        </w:rPr>
      </w:pPr>
    </w:p>
    <w:p w14:paraId="489BFE3A" w14:textId="77777777" w:rsidR="005B2B67" w:rsidRDefault="00000000">
      <w:pPr>
        <w:rPr>
          <w:rFonts w:ascii="Times New Roman" w:hAnsi="Times New Roman" w:cs="Times New Roman"/>
          <w:b/>
          <w:color w:val="000000" w:themeColor="text1"/>
          <w:lang w:val="en"/>
        </w:rPr>
      </w:pPr>
      <w:r>
        <w:rPr>
          <w:rFonts w:ascii="Times New Roman" w:hAnsi="Times New Roman" w:cs="Times New Roman" w:hint="eastAsia"/>
          <w:b/>
          <w:color w:val="000000" w:themeColor="text1"/>
          <w:lang w:val="en"/>
        </w:rPr>
        <w:t>Research Results</w:t>
      </w:r>
    </w:p>
    <w:p w14:paraId="4959E2BA" w14:textId="77777777" w:rsidR="005B2B67" w:rsidRDefault="00000000">
      <w:pPr>
        <w:rPr>
          <w:rFonts w:ascii="Times New Roman" w:hAnsi="Times New Roman" w:cs="Times New Roman"/>
          <w:b/>
          <w:color w:val="000000" w:themeColor="text1"/>
          <w:lang w:val="en"/>
        </w:rPr>
      </w:pPr>
      <w:r>
        <w:rPr>
          <w:rFonts w:ascii="Times New Roman" w:hAnsi="Times New Roman" w:cs="Times New Roman" w:hint="eastAsia"/>
          <w:b/>
          <w:color w:val="000000" w:themeColor="text1"/>
          <w:lang w:val="en"/>
        </w:rPr>
        <w:t>Current Competency Status</w:t>
      </w:r>
    </w:p>
    <w:p w14:paraId="2F849528"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 xml:space="preserve">The survey revealed an overall medium-to-high competency level (mean scores across dimensions ranged from 3.63 to 4.04). Knowledge &amp; Skills scored highest (mean = 4.04), followed by Student Conception (mean = 3.96), Teaching Organization (mean = 3.77), Personality Traits (mean = 3.77), and Professionalism (mean = 3.63). Key weaknesses included </w:t>
      </w:r>
      <w:r>
        <w:rPr>
          <w:rFonts w:ascii="Times New Roman" w:eastAsia="Times New Roman" w:hAnsi="Times New Roman" w:cs="Times New Roman" w:hint="eastAsia"/>
          <w:color w:val="000000"/>
          <w:lang w:val="en" w:bidi="th-TH"/>
        </w:rPr>
        <w:lastRenderedPageBreak/>
        <w:t>classroom management (e.g., handling emergencies, mean = 3.47), willingness to innovate (mean = 3.55), and having a clear professional development plan (mean = 3.55).</w:t>
      </w:r>
    </w:p>
    <w:p w14:paraId="5AAF0BAD"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To provide a more comprehensive understanding of the competency levels across the five dimensions, Table 1 presents detailed descriptive statistics for each dimension and their respective sub-dimensions.</w:t>
      </w:r>
    </w:p>
    <w:p w14:paraId="357B7EC4" w14:textId="77777777" w:rsidR="005B2B67" w:rsidRDefault="00000000">
      <w:pPr>
        <w:tabs>
          <w:tab w:val="right" w:pos="8289"/>
        </w:tabs>
        <w:ind w:firstLineChars="200" w:firstLine="480"/>
        <w:jc w:val="center"/>
        <w:rPr>
          <w:rFonts w:ascii="Times New Roman" w:eastAsia="Times New Roman" w:hAnsi="Times New Roman" w:cs="Times New Roman"/>
          <w:color w:val="000000"/>
          <w:lang w:val="en" w:bidi="th-TH"/>
        </w:rPr>
      </w:pPr>
      <w:r>
        <w:rPr>
          <w:rFonts w:ascii="Times New Roman" w:eastAsia="Times New Roman" w:hAnsi="Times New Roman" w:cs="Times New Roman"/>
          <w:color w:val="000000"/>
          <w:lang w:val="en" w:bidi="th-TH"/>
        </w:rPr>
        <w:t>Table 1 Detailed Descriptive Statistics for Competency Dimensions and Sub-dimensions</w:t>
      </w:r>
    </w:p>
    <w:tbl>
      <w:tblPr>
        <w:tblW w:w="9404" w:type="dxa"/>
        <w:jc w:val="center"/>
        <w:tblCellMar>
          <w:top w:w="15" w:type="dxa"/>
          <w:left w:w="15" w:type="dxa"/>
          <w:bottom w:w="15" w:type="dxa"/>
          <w:right w:w="15" w:type="dxa"/>
        </w:tblCellMar>
        <w:tblLook w:val="04A0" w:firstRow="1" w:lastRow="0" w:firstColumn="1" w:lastColumn="0" w:noHBand="0" w:noVBand="1"/>
      </w:tblPr>
      <w:tblGrid>
        <w:gridCol w:w="2374"/>
        <w:gridCol w:w="2886"/>
        <w:gridCol w:w="1123"/>
        <w:gridCol w:w="1123"/>
        <w:gridCol w:w="1898"/>
      </w:tblGrid>
      <w:tr w:rsidR="005B2B67" w14:paraId="19A88210" w14:textId="77777777">
        <w:trPr>
          <w:tblHeader/>
          <w:jc w:val="center"/>
        </w:trPr>
        <w:tc>
          <w:tcPr>
            <w:tcW w:w="2375" w:type="dxa"/>
            <w:tcBorders>
              <w:top w:val="single" w:sz="12" w:space="0" w:color="000000" w:themeColor="dark1"/>
              <w:left w:val="nil"/>
              <w:bottom w:val="single" w:sz="6" w:space="0" w:color="000000" w:themeColor="dark1"/>
              <w:right w:val="nil"/>
              <w:tl2br w:val="nil"/>
            </w:tcBorders>
            <w:shd w:val="clear" w:color="auto" w:fill="FFFFFF"/>
            <w:tcMar>
              <w:top w:w="150" w:type="dxa"/>
              <w:left w:w="-1" w:type="dxa"/>
              <w:bottom w:w="150" w:type="dxa"/>
              <w:right w:w="240" w:type="dxa"/>
            </w:tcMar>
            <w:vAlign w:val="center"/>
          </w:tcPr>
          <w:p w14:paraId="79CC65D1" w14:textId="77777777" w:rsidR="005B2B67" w:rsidRDefault="00000000">
            <w:pPr>
              <w:snapToGrid w:val="0"/>
              <w:jc w:val="center"/>
              <w:rPr>
                <w:rFonts w:ascii="Times New Roman" w:eastAsia="Segoe UI" w:hAnsi="Times New Roman" w:cs="Times New Roman"/>
                <w:b/>
                <w:color w:val="000000" w:themeColor="dark1"/>
                <w:sz w:val="22"/>
                <w:szCs w:val="22"/>
              </w:rPr>
            </w:pPr>
            <w:r>
              <w:rPr>
                <w:rFonts w:ascii="Times New Roman" w:eastAsia="Segoe UI" w:hAnsi="Times New Roman" w:cs="Times New Roman"/>
                <w:b/>
                <w:color w:val="000000" w:themeColor="dark1"/>
                <w:sz w:val="22"/>
                <w:szCs w:val="22"/>
                <w:lang w:bidi="ar"/>
              </w:rPr>
              <w:t>Dimension</w:t>
            </w:r>
          </w:p>
        </w:tc>
        <w:tc>
          <w:tcPr>
            <w:tcW w:w="2886" w:type="dxa"/>
            <w:tcBorders>
              <w:top w:val="single" w:sz="12" w:space="0" w:color="000000" w:themeColor="dark1"/>
              <w:left w:val="nil"/>
              <w:bottom w:val="single" w:sz="6" w:space="0" w:color="000000" w:themeColor="dark1"/>
              <w:right w:val="nil"/>
            </w:tcBorders>
            <w:shd w:val="clear" w:color="auto" w:fill="FFFFFF"/>
            <w:tcMar>
              <w:top w:w="150" w:type="dxa"/>
              <w:left w:w="240" w:type="dxa"/>
              <w:bottom w:w="150" w:type="dxa"/>
              <w:right w:w="240" w:type="dxa"/>
            </w:tcMar>
            <w:vAlign w:val="center"/>
          </w:tcPr>
          <w:p w14:paraId="22F593AF" w14:textId="77777777" w:rsidR="005B2B67" w:rsidRDefault="00000000">
            <w:pPr>
              <w:snapToGrid w:val="0"/>
              <w:jc w:val="center"/>
              <w:rPr>
                <w:rFonts w:ascii="Times New Roman" w:eastAsia="Segoe UI" w:hAnsi="Times New Roman" w:cs="Times New Roman"/>
                <w:b/>
                <w:color w:val="000000" w:themeColor="dark1"/>
                <w:sz w:val="22"/>
                <w:szCs w:val="22"/>
              </w:rPr>
            </w:pPr>
            <w:r>
              <w:rPr>
                <w:rFonts w:ascii="Times New Roman" w:eastAsia="Segoe UI" w:hAnsi="Times New Roman" w:cs="Times New Roman"/>
                <w:b/>
                <w:color w:val="000000" w:themeColor="dark1"/>
                <w:sz w:val="22"/>
                <w:szCs w:val="22"/>
                <w:lang w:bidi="ar"/>
              </w:rPr>
              <w:t>Sub-dimension</w:t>
            </w:r>
          </w:p>
        </w:tc>
        <w:tc>
          <w:tcPr>
            <w:tcW w:w="1123" w:type="dxa"/>
            <w:tcBorders>
              <w:top w:val="single" w:sz="12" w:space="0" w:color="000000" w:themeColor="dark1"/>
              <w:left w:val="nil"/>
              <w:bottom w:val="single" w:sz="6" w:space="0" w:color="000000" w:themeColor="dark1"/>
              <w:right w:val="nil"/>
            </w:tcBorders>
            <w:shd w:val="clear" w:color="auto" w:fill="FFFFFF"/>
            <w:tcMar>
              <w:top w:w="150" w:type="dxa"/>
              <w:left w:w="240" w:type="dxa"/>
              <w:bottom w:w="150" w:type="dxa"/>
              <w:right w:w="240" w:type="dxa"/>
            </w:tcMar>
            <w:vAlign w:val="center"/>
          </w:tcPr>
          <w:p w14:paraId="22A35B01" w14:textId="77777777" w:rsidR="005B2B67" w:rsidRDefault="00000000">
            <w:pPr>
              <w:snapToGrid w:val="0"/>
              <w:jc w:val="center"/>
              <w:rPr>
                <w:rFonts w:ascii="Times New Roman" w:eastAsia="Segoe UI" w:hAnsi="Times New Roman" w:cs="Times New Roman"/>
                <w:b/>
                <w:color w:val="000000" w:themeColor="dark1"/>
                <w:sz w:val="22"/>
                <w:szCs w:val="22"/>
              </w:rPr>
            </w:pPr>
            <w:r>
              <w:rPr>
                <w:rFonts w:ascii="Times New Roman" w:eastAsia="Segoe UI" w:hAnsi="Times New Roman" w:cs="Times New Roman"/>
                <w:b/>
                <w:color w:val="000000" w:themeColor="dark1"/>
                <w:sz w:val="22"/>
                <w:szCs w:val="22"/>
                <w:lang w:bidi="ar"/>
              </w:rPr>
              <w:t>Mean</w:t>
            </w:r>
          </w:p>
        </w:tc>
        <w:tc>
          <w:tcPr>
            <w:tcW w:w="1123" w:type="dxa"/>
            <w:tcBorders>
              <w:top w:val="single" w:sz="12" w:space="0" w:color="000000" w:themeColor="dark1"/>
              <w:left w:val="nil"/>
              <w:bottom w:val="single" w:sz="6" w:space="0" w:color="000000" w:themeColor="dark1"/>
              <w:right w:val="nil"/>
            </w:tcBorders>
            <w:shd w:val="clear" w:color="auto" w:fill="FFFFFF"/>
            <w:tcMar>
              <w:top w:w="150" w:type="dxa"/>
              <w:left w:w="240" w:type="dxa"/>
              <w:bottom w:w="150" w:type="dxa"/>
              <w:right w:w="240" w:type="dxa"/>
            </w:tcMar>
            <w:vAlign w:val="center"/>
          </w:tcPr>
          <w:p w14:paraId="4A90FC6F" w14:textId="77777777" w:rsidR="005B2B67" w:rsidRDefault="00000000">
            <w:pPr>
              <w:snapToGrid w:val="0"/>
              <w:jc w:val="center"/>
              <w:rPr>
                <w:rFonts w:ascii="Times New Roman" w:eastAsia="Segoe UI" w:hAnsi="Times New Roman" w:cs="Times New Roman"/>
                <w:b/>
                <w:color w:val="000000" w:themeColor="dark1"/>
                <w:sz w:val="22"/>
                <w:szCs w:val="22"/>
              </w:rPr>
            </w:pPr>
            <w:r>
              <w:rPr>
                <w:rFonts w:ascii="Times New Roman" w:eastAsia="Segoe UI" w:hAnsi="Times New Roman" w:cs="Times New Roman"/>
                <w:b/>
                <w:color w:val="000000" w:themeColor="dark1"/>
                <w:sz w:val="22"/>
                <w:szCs w:val="22"/>
                <w:lang w:bidi="ar"/>
              </w:rPr>
              <w:t>SD</w:t>
            </w:r>
          </w:p>
        </w:tc>
        <w:tc>
          <w:tcPr>
            <w:tcW w:w="1898" w:type="dxa"/>
            <w:tcBorders>
              <w:top w:val="single" w:sz="12" w:space="0" w:color="000000" w:themeColor="dark1"/>
              <w:left w:val="nil"/>
              <w:bottom w:val="single" w:sz="6" w:space="0" w:color="000000" w:themeColor="dark1"/>
              <w:right w:val="nil"/>
            </w:tcBorders>
            <w:shd w:val="clear" w:color="auto" w:fill="FFFFFF"/>
            <w:tcMar>
              <w:top w:w="150" w:type="dxa"/>
              <w:left w:w="240" w:type="dxa"/>
              <w:bottom w:w="150" w:type="dxa"/>
              <w:right w:w="240" w:type="dxa"/>
            </w:tcMar>
            <w:vAlign w:val="center"/>
          </w:tcPr>
          <w:p w14:paraId="278EFE96" w14:textId="77777777" w:rsidR="005B2B67" w:rsidRDefault="00000000">
            <w:pPr>
              <w:snapToGrid w:val="0"/>
              <w:jc w:val="center"/>
              <w:rPr>
                <w:rFonts w:ascii="Times New Roman" w:eastAsia="Segoe UI" w:hAnsi="Times New Roman" w:cs="Times New Roman"/>
                <w:b/>
                <w:color w:val="000000" w:themeColor="dark1"/>
                <w:sz w:val="22"/>
                <w:szCs w:val="22"/>
              </w:rPr>
            </w:pPr>
            <w:r>
              <w:rPr>
                <w:rFonts w:ascii="Times New Roman" w:eastAsia="Segoe UI" w:hAnsi="Times New Roman" w:cs="Times New Roman"/>
                <w:b/>
                <w:color w:val="000000" w:themeColor="dark1"/>
                <w:sz w:val="22"/>
                <w:szCs w:val="22"/>
                <w:lang w:bidi="ar"/>
              </w:rPr>
              <w:t>Interpretation</w:t>
            </w:r>
          </w:p>
        </w:tc>
      </w:tr>
      <w:tr w:rsidR="005B2B67" w14:paraId="75030CBD" w14:textId="77777777">
        <w:trPr>
          <w:jc w:val="center"/>
        </w:trPr>
        <w:tc>
          <w:tcPr>
            <w:tcW w:w="2375" w:type="dxa"/>
            <w:tcBorders>
              <w:top w:val="single" w:sz="6" w:space="0" w:color="000000" w:themeColor="dark1"/>
              <w:left w:val="nil"/>
              <w:bottom w:val="nil"/>
              <w:right w:val="nil"/>
            </w:tcBorders>
            <w:shd w:val="clear" w:color="auto" w:fill="FFFFFF"/>
            <w:tcMar>
              <w:top w:w="150" w:type="dxa"/>
              <w:left w:w="-1" w:type="dxa"/>
              <w:bottom w:w="150" w:type="dxa"/>
              <w:right w:w="240" w:type="dxa"/>
            </w:tcMar>
            <w:vAlign w:val="center"/>
          </w:tcPr>
          <w:p w14:paraId="7CD17DAC" w14:textId="77777777" w:rsidR="005B2B67" w:rsidRDefault="00000000">
            <w:pPr>
              <w:snapToGrid w:val="0"/>
              <w:jc w:val="center"/>
              <w:rPr>
                <w:rFonts w:ascii="Times New Roman" w:eastAsia="Segoe UI" w:hAnsi="Times New Roman" w:cs="Times New Roman"/>
                <w:color w:val="08090C"/>
                <w:sz w:val="22"/>
                <w:szCs w:val="22"/>
              </w:rPr>
            </w:pPr>
            <w:r>
              <w:rPr>
                <w:rStyle w:val="Strong"/>
                <w:rFonts w:ascii="Times New Roman" w:eastAsia="Segoe UI" w:hAnsi="Times New Roman" w:cs="Times New Roman"/>
                <w:b w:val="0"/>
                <w:color w:val="08090C"/>
                <w:sz w:val="22"/>
                <w:szCs w:val="22"/>
                <w:lang w:bidi="ar"/>
              </w:rPr>
              <w:t>Knowledge &amp; Skills</w:t>
            </w:r>
          </w:p>
        </w:tc>
        <w:tc>
          <w:tcPr>
            <w:tcW w:w="2886" w:type="dxa"/>
            <w:tcBorders>
              <w:top w:val="single" w:sz="6" w:space="0" w:color="000000" w:themeColor="dark1"/>
              <w:left w:val="nil"/>
              <w:bottom w:val="nil"/>
              <w:right w:val="nil"/>
            </w:tcBorders>
            <w:shd w:val="clear" w:color="auto" w:fill="FFFFFF"/>
            <w:tcMar>
              <w:top w:w="150" w:type="dxa"/>
              <w:left w:w="240" w:type="dxa"/>
              <w:bottom w:w="150" w:type="dxa"/>
              <w:right w:w="240" w:type="dxa"/>
            </w:tcMar>
            <w:vAlign w:val="center"/>
          </w:tcPr>
          <w:p w14:paraId="2365D2C3"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Sports Knowledge</w:t>
            </w:r>
          </w:p>
        </w:tc>
        <w:tc>
          <w:tcPr>
            <w:tcW w:w="1123" w:type="dxa"/>
            <w:tcBorders>
              <w:top w:val="single" w:sz="6" w:space="0" w:color="000000" w:themeColor="dark1"/>
              <w:left w:val="nil"/>
              <w:bottom w:val="nil"/>
              <w:right w:val="nil"/>
            </w:tcBorders>
            <w:shd w:val="clear" w:color="auto" w:fill="FFFFFF"/>
            <w:tcMar>
              <w:top w:w="150" w:type="dxa"/>
              <w:left w:w="240" w:type="dxa"/>
              <w:bottom w:w="150" w:type="dxa"/>
              <w:right w:w="240" w:type="dxa"/>
            </w:tcMar>
            <w:vAlign w:val="center"/>
          </w:tcPr>
          <w:p w14:paraId="00CA89D2"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3.97</w:t>
            </w:r>
          </w:p>
        </w:tc>
        <w:tc>
          <w:tcPr>
            <w:tcW w:w="1123" w:type="dxa"/>
            <w:tcBorders>
              <w:top w:val="single" w:sz="6" w:space="0" w:color="000000" w:themeColor="dark1"/>
              <w:left w:val="nil"/>
              <w:bottom w:val="nil"/>
              <w:right w:val="nil"/>
            </w:tcBorders>
            <w:shd w:val="clear" w:color="auto" w:fill="FFFFFF"/>
            <w:tcMar>
              <w:top w:w="150" w:type="dxa"/>
              <w:left w:w="240" w:type="dxa"/>
              <w:bottom w:w="150" w:type="dxa"/>
              <w:right w:w="240" w:type="dxa"/>
            </w:tcMar>
            <w:vAlign w:val="center"/>
          </w:tcPr>
          <w:p w14:paraId="27E74214"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0.82</w:t>
            </w:r>
          </w:p>
        </w:tc>
        <w:tc>
          <w:tcPr>
            <w:tcW w:w="1898" w:type="dxa"/>
            <w:tcBorders>
              <w:top w:val="single" w:sz="6" w:space="0" w:color="000000" w:themeColor="dark1"/>
              <w:left w:val="nil"/>
              <w:bottom w:val="nil"/>
              <w:right w:val="nil"/>
            </w:tcBorders>
            <w:shd w:val="clear" w:color="auto" w:fill="FFFFFF"/>
            <w:tcMar>
              <w:top w:w="150" w:type="dxa"/>
              <w:left w:w="240" w:type="dxa"/>
              <w:bottom w:w="150" w:type="dxa"/>
              <w:right w:w="-1" w:type="dxa"/>
            </w:tcMar>
            <w:vAlign w:val="center"/>
          </w:tcPr>
          <w:p w14:paraId="77AF7653"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High</w:t>
            </w:r>
          </w:p>
        </w:tc>
      </w:tr>
      <w:tr w:rsidR="005B2B67" w14:paraId="79E57921" w14:textId="77777777">
        <w:trPr>
          <w:jc w:val="center"/>
        </w:trPr>
        <w:tc>
          <w:tcPr>
            <w:tcW w:w="2375" w:type="dxa"/>
            <w:tcBorders>
              <w:top w:val="nil"/>
              <w:left w:val="nil"/>
              <w:bottom w:val="nil"/>
              <w:right w:val="nil"/>
            </w:tcBorders>
            <w:shd w:val="clear" w:color="auto" w:fill="FFFFFF"/>
            <w:tcMar>
              <w:top w:w="150" w:type="dxa"/>
              <w:left w:w="-1" w:type="dxa"/>
              <w:bottom w:w="150" w:type="dxa"/>
              <w:right w:w="240" w:type="dxa"/>
            </w:tcMar>
            <w:vAlign w:val="center"/>
          </w:tcPr>
          <w:p w14:paraId="7E36C3C5" w14:textId="77777777" w:rsidR="005B2B67" w:rsidRDefault="005B2B67">
            <w:pPr>
              <w:snapToGrid w:val="0"/>
              <w:jc w:val="center"/>
              <w:rPr>
                <w:rFonts w:ascii="Times New Roman" w:eastAsia="Segoe UI" w:hAnsi="Times New Roman" w:cs="Times New Roman"/>
                <w:color w:val="08090C"/>
                <w:sz w:val="22"/>
                <w:szCs w:val="22"/>
              </w:rPr>
            </w:pPr>
          </w:p>
        </w:tc>
        <w:tc>
          <w:tcPr>
            <w:tcW w:w="2886" w:type="dxa"/>
            <w:tcBorders>
              <w:top w:val="nil"/>
              <w:left w:val="nil"/>
              <w:bottom w:val="nil"/>
              <w:right w:val="nil"/>
            </w:tcBorders>
            <w:shd w:val="clear" w:color="auto" w:fill="FFFFFF"/>
            <w:tcMar>
              <w:top w:w="150" w:type="dxa"/>
              <w:left w:w="240" w:type="dxa"/>
              <w:bottom w:w="150" w:type="dxa"/>
              <w:right w:w="240" w:type="dxa"/>
            </w:tcMar>
            <w:vAlign w:val="center"/>
          </w:tcPr>
          <w:p w14:paraId="70B4FCD7"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Teaching Skills</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21A68B8E"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4.08</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50ACF96D"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0.79</w:t>
            </w:r>
          </w:p>
        </w:tc>
        <w:tc>
          <w:tcPr>
            <w:tcW w:w="1898" w:type="dxa"/>
            <w:tcBorders>
              <w:top w:val="nil"/>
              <w:left w:val="nil"/>
              <w:bottom w:val="nil"/>
              <w:right w:val="nil"/>
            </w:tcBorders>
            <w:shd w:val="clear" w:color="auto" w:fill="FFFFFF"/>
            <w:tcMar>
              <w:top w:w="150" w:type="dxa"/>
              <w:left w:w="240" w:type="dxa"/>
              <w:bottom w:w="150" w:type="dxa"/>
              <w:right w:w="-1" w:type="dxa"/>
            </w:tcMar>
            <w:vAlign w:val="center"/>
          </w:tcPr>
          <w:p w14:paraId="73BF39BD"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High</w:t>
            </w:r>
          </w:p>
        </w:tc>
      </w:tr>
      <w:tr w:rsidR="005B2B67" w14:paraId="56D3EB98" w14:textId="77777777">
        <w:trPr>
          <w:jc w:val="center"/>
        </w:trPr>
        <w:tc>
          <w:tcPr>
            <w:tcW w:w="2375" w:type="dxa"/>
            <w:tcBorders>
              <w:top w:val="nil"/>
              <w:left w:val="nil"/>
              <w:bottom w:val="nil"/>
              <w:right w:val="nil"/>
            </w:tcBorders>
            <w:shd w:val="clear" w:color="auto" w:fill="FFFFFF"/>
            <w:tcMar>
              <w:top w:w="150" w:type="dxa"/>
              <w:left w:w="-1" w:type="dxa"/>
              <w:bottom w:w="150" w:type="dxa"/>
              <w:right w:w="240" w:type="dxa"/>
            </w:tcMar>
            <w:vAlign w:val="center"/>
          </w:tcPr>
          <w:p w14:paraId="4D8C2ABB" w14:textId="77777777" w:rsidR="005B2B67" w:rsidRDefault="005B2B67">
            <w:pPr>
              <w:snapToGrid w:val="0"/>
              <w:jc w:val="center"/>
              <w:rPr>
                <w:rFonts w:ascii="Times New Roman" w:eastAsia="Segoe UI" w:hAnsi="Times New Roman" w:cs="Times New Roman"/>
                <w:color w:val="08090C"/>
                <w:sz w:val="22"/>
                <w:szCs w:val="22"/>
              </w:rPr>
            </w:pPr>
          </w:p>
        </w:tc>
        <w:tc>
          <w:tcPr>
            <w:tcW w:w="2886" w:type="dxa"/>
            <w:tcBorders>
              <w:top w:val="nil"/>
              <w:left w:val="nil"/>
              <w:bottom w:val="nil"/>
              <w:right w:val="nil"/>
            </w:tcBorders>
            <w:shd w:val="clear" w:color="auto" w:fill="FFFFFF"/>
            <w:tcMar>
              <w:top w:w="150" w:type="dxa"/>
              <w:left w:w="240" w:type="dxa"/>
              <w:bottom w:w="150" w:type="dxa"/>
              <w:right w:w="240" w:type="dxa"/>
            </w:tcMar>
            <w:vAlign w:val="center"/>
          </w:tcPr>
          <w:p w14:paraId="60802E35"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Technology Application</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69BD6A39"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4.06</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6C4FD1E0"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0.81</w:t>
            </w:r>
          </w:p>
        </w:tc>
        <w:tc>
          <w:tcPr>
            <w:tcW w:w="1898" w:type="dxa"/>
            <w:tcBorders>
              <w:top w:val="nil"/>
              <w:left w:val="nil"/>
              <w:bottom w:val="nil"/>
              <w:right w:val="nil"/>
            </w:tcBorders>
            <w:shd w:val="clear" w:color="auto" w:fill="FFFFFF"/>
            <w:tcMar>
              <w:top w:w="150" w:type="dxa"/>
              <w:left w:w="240" w:type="dxa"/>
              <w:bottom w:w="150" w:type="dxa"/>
              <w:right w:w="-1" w:type="dxa"/>
            </w:tcMar>
            <w:vAlign w:val="center"/>
          </w:tcPr>
          <w:p w14:paraId="78CA06B0"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High</w:t>
            </w:r>
          </w:p>
        </w:tc>
      </w:tr>
      <w:tr w:rsidR="005B2B67" w14:paraId="79B763E2" w14:textId="77777777">
        <w:trPr>
          <w:jc w:val="center"/>
        </w:trPr>
        <w:tc>
          <w:tcPr>
            <w:tcW w:w="2375" w:type="dxa"/>
            <w:tcBorders>
              <w:top w:val="nil"/>
              <w:left w:val="nil"/>
              <w:bottom w:val="nil"/>
              <w:right w:val="nil"/>
            </w:tcBorders>
            <w:shd w:val="clear" w:color="auto" w:fill="FFFFFF"/>
            <w:tcMar>
              <w:top w:w="150" w:type="dxa"/>
              <w:left w:w="-1" w:type="dxa"/>
              <w:bottom w:w="150" w:type="dxa"/>
              <w:right w:w="240" w:type="dxa"/>
            </w:tcMar>
            <w:vAlign w:val="center"/>
          </w:tcPr>
          <w:p w14:paraId="6AE6B913" w14:textId="77777777" w:rsidR="005B2B67" w:rsidRDefault="00000000">
            <w:pPr>
              <w:snapToGrid w:val="0"/>
              <w:jc w:val="center"/>
              <w:rPr>
                <w:rFonts w:ascii="Times New Roman" w:eastAsia="Segoe UI" w:hAnsi="Times New Roman" w:cs="Times New Roman"/>
                <w:color w:val="08090C"/>
                <w:sz w:val="22"/>
                <w:szCs w:val="22"/>
              </w:rPr>
            </w:pPr>
            <w:r>
              <w:rPr>
                <w:rStyle w:val="Emphasis"/>
                <w:rFonts w:ascii="Times New Roman" w:eastAsia="Segoe UI" w:hAnsi="Times New Roman" w:cs="Times New Roman"/>
                <w:i w:val="0"/>
                <w:color w:val="08090C"/>
                <w:sz w:val="22"/>
                <w:szCs w:val="22"/>
                <w:lang w:bidi="ar"/>
              </w:rPr>
              <w:t>Dimension Total</w:t>
            </w:r>
          </w:p>
        </w:tc>
        <w:tc>
          <w:tcPr>
            <w:tcW w:w="2886" w:type="dxa"/>
            <w:tcBorders>
              <w:top w:val="nil"/>
              <w:left w:val="nil"/>
              <w:bottom w:val="nil"/>
              <w:right w:val="nil"/>
            </w:tcBorders>
            <w:shd w:val="clear" w:color="auto" w:fill="FFFFFF"/>
            <w:tcMar>
              <w:top w:w="150" w:type="dxa"/>
              <w:left w:w="240" w:type="dxa"/>
              <w:bottom w:w="150" w:type="dxa"/>
              <w:right w:w="240" w:type="dxa"/>
            </w:tcMar>
            <w:vAlign w:val="center"/>
          </w:tcPr>
          <w:p w14:paraId="7F046CF2" w14:textId="77777777" w:rsidR="005B2B67" w:rsidRDefault="005B2B67">
            <w:pPr>
              <w:snapToGrid w:val="0"/>
              <w:jc w:val="center"/>
              <w:rPr>
                <w:rFonts w:ascii="Times New Roman" w:eastAsia="Segoe UI" w:hAnsi="Times New Roman" w:cs="Times New Roman"/>
                <w:color w:val="08090C"/>
                <w:sz w:val="22"/>
                <w:szCs w:val="22"/>
              </w:rPr>
            </w:pP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142E78FD"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*4.04*</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0542B5D3"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*0.75*</w:t>
            </w:r>
          </w:p>
        </w:tc>
        <w:tc>
          <w:tcPr>
            <w:tcW w:w="1898" w:type="dxa"/>
            <w:tcBorders>
              <w:top w:val="nil"/>
              <w:left w:val="nil"/>
              <w:bottom w:val="nil"/>
              <w:right w:val="nil"/>
            </w:tcBorders>
            <w:shd w:val="clear" w:color="auto" w:fill="FFFFFF"/>
            <w:tcMar>
              <w:top w:w="150" w:type="dxa"/>
              <w:left w:w="240" w:type="dxa"/>
              <w:bottom w:w="150" w:type="dxa"/>
              <w:right w:w="-1" w:type="dxa"/>
            </w:tcMar>
            <w:vAlign w:val="center"/>
          </w:tcPr>
          <w:p w14:paraId="45A71DB7" w14:textId="77777777" w:rsidR="005B2B67" w:rsidRDefault="00000000">
            <w:pPr>
              <w:snapToGrid w:val="0"/>
              <w:jc w:val="center"/>
              <w:rPr>
                <w:rFonts w:ascii="Times New Roman" w:eastAsia="Segoe UI" w:hAnsi="Times New Roman" w:cs="Times New Roman"/>
                <w:color w:val="08090C"/>
                <w:sz w:val="22"/>
                <w:szCs w:val="22"/>
              </w:rPr>
            </w:pPr>
            <w:r>
              <w:rPr>
                <w:rStyle w:val="Emphasis"/>
                <w:rFonts w:ascii="Times New Roman" w:eastAsia="Segoe UI" w:hAnsi="Times New Roman" w:cs="Times New Roman"/>
                <w:i w:val="0"/>
                <w:color w:val="08090C"/>
                <w:sz w:val="22"/>
                <w:szCs w:val="22"/>
                <w:lang w:bidi="ar"/>
              </w:rPr>
              <w:t>High</w:t>
            </w:r>
          </w:p>
        </w:tc>
      </w:tr>
      <w:tr w:rsidR="005B2B67" w14:paraId="52B61E76" w14:textId="77777777">
        <w:trPr>
          <w:jc w:val="center"/>
        </w:trPr>
        <w:tc>
          <w:tcPr>
            <w:tcW w:w="2375" w:type="dxa"/>
            <w:tcBorders>
              <w:top w:val="nil"/>
              <w:left w:val="nil"/>
              <w:bottom w:val="nil"/>
              <w:right w:val="nil"/>
            </w:tcBorders>
            <w:shd w:val="clear" w:color="auto" w:fill="FFFFFF"/>
            <w:tcMar>
              <w:top w:w="150" w:type="dxa"/>
              <w:left w:w="-1" w:type="dxa"/>
              <w:bottom w:w="150" w:type="dxa"/>
              <w:right w:w="240" w:type="dxa"/>
            </w:tcMar>
            <w:vAlign w:val="center"/>
          </w:tcPr>
          <w:p w14:paraId="56BBDD69" w14:textId="77777777" w:rsidR="005B2B67" w:rsidRDefault="00000000">
            <w:pPr>
              <w:snapToGrid w:val="0"/>
              <w:jc w:val="center"/>
              <w:rPr>
                <w:rFonts w:ascii="Times New Roman" w:eastAsia="Segoe UI" w:hAnsi="Times New Roman" w:cs="Times New Roman"/>
                <w:color w:val="08090C"/>
                <w:sz w:val="22"/>
                <w:szCs w:val="22"/>
              </w:rPr>
            </w:pPr>
            <w:r>
              <w:rPr>
                <w:rStyle w:val="Strong"/>
                <w:rFonts w:ascii="Times New Roman" w:eastAsia="Segoe UI" w:hAnsi="Times New Roman" w:cs="Times New Roman"/>
                <w:b w:val="0"/>
                <w:color w:val="08090C"/>
                <w:sz w:val="22"/>
                <w:szCs w:val="22"/>
                <w:lang w:bidi="ar"/>
              </w:rPr>
              <w:t>Teaching Organization</w:t>
            </w:r>
          </w:p>
        </w:tc>
        <w:tc>
          <w:tcPr>
            <w:tcW w:w="2886" w:type="dxa"/>
            <w:tcBorders>
              <w:top w:val="nil"/>
              <w:left w:val="nil"/>
              <w:bottom w:val="nil"/>
              <w:right w:val="nil"/>
            </w:tcBorders>
            <w:shd w:val="clear" w:color="auto" w:fill="FFFFFF"/>
            <w:tcMar>
              <w:top w:w="150" w:type="dxa"/>
              <w:left w:w="240" w:type="dxa"/>
              <w:bottom w:w="150" w:type="dxa"/>
              <w:right w:w="240" w:type="dxa"/>
            </w:tcMar>
            <w:vAlign w:val="center"/>
          </w:tcPr>
          <w:p w14:paraId="4BFB0C30"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Instructional Design</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020A6662"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3.99</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32D0E30A"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0.78</w:t>
            </w:r>
          </w:p>
        </w:tc>
        <w:tc>
          <w:tcPr>
            <w:tcW w:w="1898" w:type="dxa"/>
            <w:tcBorders>
              <w:top w:val="nil"/>
              <w:left w:val="nil"/>
              <w:bottom w:val="nil"/>
              <w:right w:val="nil"/>
            </w:tcBorders>
            <w:shd w:val="clear" w:color="auto" w:fill="FFFFFF"/>
            <w:tcMar>
              <w:top w:w="150" w:type="dxa"/>
              <w:left w:w="240" w:type="dxa"/>
              <w:bottom w:w="150" w:type="dxa"/>
              <w:right w:w="-1" w:type="dxa"/>
            </w:tcMar>
            <w:vAlign w:val="center"/>
          </w:tcPr>
          <w:p w14:paraId="1BE5384E"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High</w:t>
            </w:r>
          </w:p>
        </w:tc>
      </w:tr>
      <w:tr w:rsidR="005B2B67" w14:paraId="4279B8E1" w14:textId="77777777">
        <w:trPr>
          <w:jc w:val="center"/>
        </w:trPr>
        <w:tc>
          <w:tcPr>
            <w:tcW w:w="2375" w:type="dxa"/>
            <w:tcBorders>
              <w:top w:val="nil"/>
              <w:left w:val="nil"/>
              <w:bottom w:val="nil"/>
              <w:right w:val="nil"/>
            </w:tcBorders>
            <w:shd w:val="clear" w:color="auto" w:fill="FFFFFF"/>
            <w:tcMar>
              <w:top w:w="150" w:type="dxa"/>
              <w:left w:w="-1" w:type="dxa"/>
              <w:bottom w:w="150" w:type="dxa"/>
              <w:right w:w="240" w:type="dxa"/>
            </w:tcMar>
            <w:vAlign w:val="center"/>
          </w:tcPr>
          <w:p w14:paraId="128A0BEE" w14:textId="77777777" w:rsidR="005B2B67" w:rsidRDefault="005B2B67">
            <w:pPr>
              <w:snapToGrid w:val="0"/>
              <w:jc w:val="center"/>
              <w:rPr>
                <w:rFonts w:ascii="Times New Roman" w:eastAsia="Segoe UI" w:hAnsi="Times New Roman" w:cs="Times New Roman"/>
                <w:color w:val="08090C"/>
                <w:sz w:val="22"/>
                <w:szCs w:val="22"/>
              </w:rPr>
            </w:pPr>
          </w:p>
        </w:tc>
        <w:tc>
          <w:tcPr>
            <w:tcW w:w="2886" w:type="dxa"/>
            <w:tcBorders>
              <w:top w:val="nil"/>
              <w:left w:val="nil"/>
              <w:bottom w:val="nil"/>
              <w:right w:val="nil"/>
            </w:tcBorders>
            <w:shd w:val="clear" w:color="auto" w:fill="FFFFFF"/>
            <w:tcMar>
              <w:top w:w="150" w:type="dxa"/>
              <w:left w:w="240" w:type="dxa"/>
              <w:bottom w:w="150" w:type="dxa"/>
              <w:right w:w="240" w:type="dxa"/>
            </w:tcMar>
            <w:vAlign w:val="center"/>
          </w:tcPr>
          <w:p w14:paraId="52B9A3A0"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Classroom Management</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0783A159"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3.58</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51A48DC3"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0.84</w:t>
            </w:r>
          </w:p>
        </w:tc>
        <w:tc>
          <w:tcPr>
            <w:tcW w:w="1898" w:type="dxa"/>
            <w:tcBorders>
              <w:top w:val="nil"/>
              <w:left w:val="nil"/>
              <w:bottom w:val="nil"/>
              <w:right w:val="nil"/>
            </w:tcBorders>
            <w:shd w:val="clear" w:color="auto" w:fill="FFFFFF"/>
            <w:tcMar>
              <w:top w:w="150" w:type="dxa"/>
              <w:left w:w="240" w:type="dxa"/>
              <w:bottom w:w="150" w:type="dxa"/>
              <w:right w:w="-1" w:type="dxa"/>
            </w:tcMar>
            <w:vAlign w:val="center"/>
          </w:tcPr>
          <w:p w14:paraId="3A3620FF"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Moderate</w:t>
            </w:r>
          </w:p>
        </w:tc>
      </w:tr>
      <w:tr w:rsidR="005B2B67" w14:paraId="2E92E5FD" w14:textId="77777777">
        <w:trPr>
          <w:jc w:val="center"/>
        </w:trPr>
        <w:tc>
          <w:tcPr>
            <w:tcW w:w="2375" w:type="dxa"/>
            <w:tcBorders>
              <w:top w:val="nil"/>
              <w:left w:val="nil"/>
              <w:bottom w:val="nil"/>
              <w:right w:val="nil"/>
            </w:tcBorders>
            <w:shd w:val="clear" w:color="auto" w:fill="FFFFFF"/>
            <w:tcMar>
              <w:top w:w="150" w:type="dxa"/>
              <w:left w:w="-1" w:type="dxa"/>
              <w:bottom w:w="150" w:type="dxa"/>
              <w:right w:w="240" w:type="dxa"/>
            </w:tcMar>
            <w:vAlign w:val="center"/>
          </w:tcPr>
          <w:p w14:paraId="3E08C46A" w14:textId="77777777" w:rsidR="005B2B67" w:rsidRDefault="005B2B67">
            <w:pPr>
              <w:snapToGrid w:val="0"/>
              <w:jc w:val="center"/>
              <w:rPr>
                <w:rFonts w:ascii="Times New Roman" w:eastAsia="Segoe UI" w:hAnsi="Times New Roman" w:cs="Times New Roman"/>
                <w:color w:val="08090C"/>
                <w:sz w:val="22"/>
                <w:szCs w:val="22"/>
              </w:rPr>
            </w:pPr>
          </w:p>
        </w:tc>
        <w:tc>
          <w:tcPr>
            <w:tcW w:w="2886" w:type="dxa"/>
            <w:tcBorders>
              <w:top w:val="nil"/>
              <w:left w:val="nil"/>
              <w:bottom w:val="nil"/>
              <w:right w:val="nil"/>
            </w:tcBorders>
            <w:shd w:val="clear" w:color="auto" w:fill="FFFFFF"/>
            <w:tcMar>
              <w:top w:w="150" w:type="dxa"/>
              <w:left w:w="240" w:type="dxa"/>
              <w:bottom w:w="150" w:type="dxa"/>
              <w:right w:w="240" w:type="dxa"/>
            </w:tcMar>
            <w:vAlign w:val="center"/>
          </w:tcPr>
          <w:p w14:paraId="16DC98E2"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Assessment &amp; Feedback</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0A6F766D"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3.67</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1F23F33A"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0.81</w:t>
            </w:r>
          </w:p>
        </w:tc>
        <w:tc>
          <w:tcPr>
            <w:tcW w:w="1898" w:type="dxa"/>
            <w:tcBorders>
              <w:top w:val="nil"/>
              <w:left w:val="nil"/>
              <w:bottom w:val="nil"/>
              <w:right w:val="nil"/>
            </w:tcBorders>
            <w:shd w:val="clear" w:color="auto" w:fill="FFFFFF"/>
            <w:tcMar>
              <w:top w:w="150" w:type="dxa"/>
              <w:left w:w="240" w:type="dxa"/>
              <w:bottom w:w="150" w:type="dxa"/>
              <w:right w:w="-1" w:type="dxa"/>
            </w:tcMar>
            <w:vAlign w:val="center"/>
          </w:tcPr>
          <w:p w14:paraId="3798AF43"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Moderate</w:t>
            </w:r>
          </w:p>
        </w:tc>
      </w:tr>
      <w:tr w:rsidR="005B2B67" w14:paraId="6E85CC53" w14:textId="77777777">
        <w:trPr>
          <w:jc w:val="center"/>
        </w:trPr>
        <w:tc>
          <w:tcPr>
            <w:tcW w:w="2375" w:type="dxa"/>
            <w:tcBorders>
              <w:top w:val="nil"/>
              <w:left w:val="nil"/>
              <w:bottom w:val="nil"/>
              <w:right w:val="nil"/>
            </w:tcBorders>
            <w:shd w:val="clear" w:color="auto" w:fill="FFFFFF"/>
            <w:tcMar>
              <w:top w:w="150" w:type="dxa"/>
              <w:left w:w="-1" w:type="dxa"/>
              <w:bottom w:w="150" w:type="dxa"/>
              <w:right w:w="240" w:type="dxa"/>
            </w:tcMar>
            <w:vAlign w:val="center"/>
          </w:tcPr>
          <w:p w14:paraId="629778A0" w14:textId="77777777" w:rsidR="005B2B67" w:rsidRDefault="00000000">
            <w:pPr>
              <w:snapToGrid w:val="0"/>
              <w:jc w:val="center"/>
              <w:rPr>
                <w:rFonts w:ascii="Times New Roman" w:eastAsia="Segoe UI" w:hAnsi="Times New Roman" w:cs="Times New Roman"/>
                <w:color w:val="08090C"/>
                <w:sz w:val="22"/>
                <w:szCs w:val="22"/>
              </w:rPr>
            </w:pPr>
            <w:r>
              <w:rPr>
                <w:rStyle w:val="Emphasis"/>
                <w:rFonts w:ascii="Times New Roman" w:eastAsia="Segoe UI" w:hAnsi="Times New Roman" w:cs="Times New Roman"/>
                <w:i w:val="0"/>
                <w:color w:val="08090C"/>
                <w:sz w:val="22"/>
                <w:szCs w:val="22"/>
                <w:lang w:bidi="ar"/>
              </w:rPr>
              <w:t>Dimension Total</w:t>
            </w:r>
          </w:p>
        </w:tc>
        <w:tc>
          <w:tcPr>
            <w:tcW w:w="2886" w:type="dxa"/>
            <w:tcBorders>
              <w:top w:val="nil"/>
              <w:left w:val="nil"/>
              <w:bottom w:val="nil"/>
              <w:right w:val="nil"/>
            </w:tcBorders>
            <w:shd w:val="clear" w:color="auto" w:fill="FFFFFF"/>
            <w:tcMar>
              <w:top w:w="150" w:type="dxa"/>
              <w:left w:w="240" w:type="dxa"/>
              <w:bottom w:w="150" w:type="dxa"/>
              <w:right w:w="240" w:type="dxa"/>
            </w:tcMar>
            <w:vAlign w:val="center"/>
          </w:tcPr>
          <w:p w14:paraId="35739E7B" w14:textId="77777777" w:rsidR="005B2B67" w:rsidRDefault="005B2B67">
            <w:pPr>
              <w:snapToGrid w:val="0"/>
              <w:jc w:val="center"/>
              <w:rPr>
                <w:rFonts w:ascii="Times New Roman" w:eastAsia="Segoe UI" w:hAnsi="Times New Roman" w:cs="Times New Roman"/>
                <w:color w:val="08090C"/>
                <w:sz w:val="22"/>
                <w:szCs w:val="22"/>
              </w:rPr>
            </w:pP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5DAF3E91"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*3.77*</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24F95E8D"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*0.66*</w:t>
            </w:r>
          </w:p>
        </w:tc>
        <w:tc>
          <w:tcPr>
            <w:tcW w:w="1898" w:type="dxa"/>
            <w:tcBorders>
              <w:top w:val="nil"/>
              <w:left w:val="nil"/>
              <w:bottom w:val="nil"/>
              <w:right w:val="nil"/>
            </w:tcBorders>
            <w:shd w:val="clear" w:color="auto" w:fill="FFFFFF"/>
            <w:tcMar>
              <w:top w:w="150" w:type="dxa"/>
              <w:left w:w="240" w:type="dxa"/>
              <w:bottom w:w="150" w:type="dxa"/>
              <w:right w:w="-1" w:type="dxa"/>
            </w:tcMar>
            <w:vAlign w:val="center"/>
          </w:tcPr>
          <w:p w14:paraId="714535F1" w14:textId="77777777" w:rsidR="005B2B67" w:rsidRDefault="00000000">
            <w:pPr>
              <w:snapToGrid w:val="0"/>
              <w:jc w:val="center"/>
              <w:rPr>
                <w:rFonts w:ascii="Times New Roman" w:eastAsia="Segoe UI" w:hAnsi="Times New Roman" w:cs="Times New Roman"/>
                <w:color w:val="08090C"/>
                <w:sz w:val="22"/>
                <w:szCs w:val="22"/>
              </w:rPr>
            </w:pPr>
            <w:r>
              <w:rPr>
                <w:rStyle w:val="Emphasis"/>
                <w:rFonts w:ascii="Times New Roman" w:eastAsia="Segoe UI" w:hAnsi="Times New Roman" w:cs="Times New Roman"/>
                <w:i w:val="0"/>
                <w:color w:val="08090C"/>
                <w:sz w:val="22"/>
                <w:szCs w:val="22"/>
                <w:lang w:bidi="ar"/>
              </w:rPr>
              <w:t>High</w:t>
            </w:r>
          </w:p>
        </w:tc>
      </w:tr>
      <w:tr w:rsidR="005B2B67" w14:paraId="725EEDA3" w14:textId="77777777">
        <w:trPr>
          <w:jc w:val="center"/>
        </w:trPr>
        <w:tc>
          <w:tcPr>
            <w:tcW w:w="2375" w:type="dxa"/>
            <w:tcBorders>
              <w:top w:val="nil"/>
              <w:left w:val="nil"/>
              <w:bottom w:val="nil"/>
              <w:right w:val="nil"/>
            </w:tcBorders>
            <w:shd w:val="clear" w:color="auto" w:fill="FFFFFF"/>
            <w:tcMar>
              <w:top w:w="150" w:type="dxa"/>
              <w:left w:w="-1" w:type="dxa"/>
              <w:bottom w:w="150" w:type="dxa"/>
              <w:right w:w="240" w:type="dxa"/>
            </w:tcMar>
            <w:vAlign w:val="center"/>
          </w:tcPr>
          <w:p w14:paraId="2DC94E6A" w14:textId="77777777" w:rsidR="005B2B67" w:rsidRDefault="00000000">
            <w:pPr>
              <w:snapToGrid w:val="0"/>
              <w:jc w:val="center"/>
              <w:rPr>
                <w:rFonts w:ascii="Times New Roman" w:eastAsia="Segoe UI" w:hAnsi="Times New Roman" w:cs="Times New Roman"/>
                <w:color w:val="08090C"/>
                <w:sz w:val="22"/>
                <w:szCs w:val="22"/>
              </w:rPr>
            </w:pPr>
            <w:r>
              <w:rPr>
                <w:rStyle w:val="Strong"/>
                <w:rFonts w:ascii="Times New Roman" w:eastAsia="Segoe UI" w:hAnsi="Times New Roman" w:cs="Times New Roman"/>
                <w:b w:val="0"/>
                <w:color w:val="08090C"/>
                <w:sz w:val="22"/>
                <w:szCs w:val="22"/>
                <w:lang w:bidi="ar"/>
              </w:rPr>
              <w:t>Professionalism</w:t>
            </w:r>
          </w:p>
        </w:tc>
        <w:tc>
          <w:tcPr>
            <w:tcW w:w="2886" w:type="dxa"/>
            <w:tcBorders>
              <w:top w:val="nil"/>
              <w:left w:val="nil"/>
              <w:bottom w:val="nil"/>
              <w:right w:val="nil"/>
            </w:tcBorders>
            <w:shd w:val="clear" w:color="auto" w:fill="FFFFFF"/>
            <w:tcMar>
              <w:top w:w="150" w:type="dxa"/>
              <w:left w:w="240" w:type="dxa"/>
              <w:bottom w:w="150" w:type="dxa"/>
              <w:right w:w="240" w:type="dxa"/>
            </w:tcMar>
            <w:vAlign w:val="center"/>
          </w:tcPr>
          <w:p w14:paraId="7E2CEA55"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Professional Ethics</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7EB90BF1"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3.64</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752EBA81"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0.79</w:t>
            </w:r>
          </w:p>
        </w:tc>
        <w:tc>
          <w:tcPr>
            <w:tcW w:w="1898" w:type="dxa"/>
            <w:tcBorders>
              <w:top w:val="nil"/>
              <w:left w:val="nil"/>
              <w:bottom w:val="nil"/>
              <w:right w:val="nil"/>
            </w:tcBorders>
            <w:shd w:val="clear" w:color="auto" w:fill="FFFFFF"/>
            <w:tcMar>
              <w:top w:w="150" w:type="dxa"/>
              <w:left w:w="240" w:type="dxa"/>
              <w:bottom w:w="150" w:type="dxa"/>
              <w:right w:w="-1" w:type="dxa"/>
            </w:tcMar>
            <w:vAlign w:val="center"/>
          </w:tcPr>
          <w:p w14:paraId="090A2E7A"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Moderate</w:t>
            </w:r>
          </w:p>
        </w:tc>
      </w:tr>
      <w:tr w:rsidR="005B2B67" w14:paraId="776D8E4A" w14:textId="77777777">
        <w:trPr>
          <w:jc w:val="center"/>
        </w:trPr>
        <w:tc>
          <w:tcPr>
            <w:tcW w:w="2375" w:type="dxa"/>
            <w:tcBorders>
              <w:top w:val="nil"/>
              <w:left w:val="nil"/>
              <w:bottom w:val="nil"/>
              <w:right w:val="nil"/>
            </w:tcBorders>
            <w:shd w:val="clear" w:color="auto" w:fill="FFFFFF"/>
            <w:tcMar>
              <w:top w:w="150" w:type="dxa"/>
              <w:left w:w="-1" w:type="dxa"/>
              <w:bottom w:w="150" w:type="dxa"/>
              <w:right w:w="240" w:type="dxa"/>
            </w:tcMar>
            <w:vAlign w:val="center"/>
          </w:tcPr>
          <w:p w14:paraId="26B38D8B" w14:textId="77777777" w:rsidR="005B2B67" w:rsidRDefault="005B2B67">
            <w:pPr>
              <w:snapToGrid w:val="0"/>
              <w:jc w:val="center"/>
              <w:rPr>
                <w:rFonts w:ascii="Times New Roman" w:eastAsia="Segoe UI" w:hAnsi="Times New Roman" w:cs="Times New Roman"/>
                <w:color w:val="08090C"/>
                <w:sz w:val="22"/>
                <w:szCs w:val="22"/>
              </w:rPr>
            </w:pPr>
          </w:p>
        </w:tc>
        <w:tc>
          <w:tcPr>
            <w:tcW w:w="2886" w:type="dxa"/>
            <w:tcBorders>
              <w:top w:val="nil"/>
              <w:left w:val="nil"/>
              <w:bottom w:val="nil"/>
              <w:right w:val="nil"/>
            </w:tcBorders>
            <w:shd w:val="clear" w:color="auto" w:fill="FFFFFF"/>
            <w:tcMar>
              <w:top w:w="150" w:type="dxa"/>
              <w:left w:w="240" w:type="dxa"/>
              <w:bottom w:w="150" w:type="dxa"/>
              <w:right w:w="240" w:type="dxa"/>
            </w:tcMar>
            <w:vAlign w:val="center"/>
          </w:tcPr>
          <w:p w14:paraId="3E60CF59"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Development Willingness</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06A85C05"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3.59</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3CC2E53C"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0.83</w:t>
            </w:r>
          </w:p>
        </w:tc>
        <w:tc>
          <w:tcPr>
            <w:tcW w:w="1898" w:type="dxa"/>
            <w:tcBorders>
              <w:top w:val="nil"/>
              <w:left w:val="nil"/>
              <w:bottom w:val="nil"/>
              <w:right w:val="nil"/>
            </w:tcBorders>
            <w:shd w:val="clear" w:color="auto" w:fill="FFFFFF"/>
            <w:tcMar>
              <w:top w:w="150" w:type="dxa"/>
              <w:left w:w="240" w:type="dxa"/>
              <w:bottom w:w="150" w:type="dxa"/>
              <w:right w:w="-1" w:type="dxa"/>
            </w:tcMar>
            <w:vAlign w:val="center"/>
          </w:tcPr>
          <w:p w14:paraId="113616D4"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Moderate</w:t>
            </w:r>
          </w:p>
        </w:tc>
      </w:tr>
      <w:tr w:rsidR="005B2B67" w14:paraId="6CB9E2FD" w14:textId="77777777">
        <w:trPr>
          <w:jc w:val="center"/>
        </w:trPr>
        <w:tc>
          <w:tcPr>
            <w:tcW w:w="2375" w:type="dxa"/>
            <w:tcBorders>
              <w:top w:val="nil"/>
              <w:left w:val="nil"/>
              <w:bottom w:val="nil"/>
              <w:right w:val="nil"/>
            </w:tcBorders>
            <w:shd w:val="clear" w:color="auto" w:fill="FFFFFF"/>
            <w:tcMar>
              <w:top w:w="150" w:type="dxa"/>
              <w:left w:w="-1" w:type="dxa"/>
              <w:bottom w:w="150" w:type="dxa"/>
              <w:right w:w="240" w:type="dxa"/>
            </w:tcMar>
            <w:vAlign w:val="center"/>
          </w:tcPr>
          <w:p w14:paraId="1E85AC1B" w14:textId="77777777" w:rsidR="005B2B67" w:rsidRDefault="005B2B67">
            <w:pPr>
              <w:snapToGrid w:val="0"/>
              <w:jc w:val="center"/>
              <w:rPr>
                <w:rFonts w:ascii="Times New Roman" w:eastAsia="Segoe UI" w:hAnsi="Times New Roman" w:cs="Times New Roman"/>
                <w:color w:val="08090C"/>
                <w:sz w:val="22"/>
                <w:szCs w:val="22"/>
              </w:rPr>
            </w:pPr>
          </w:p>
        </w:tc>
        <w:tc>
          <w:tcPr>
            <w:tcW w:w="2886" w:type="dxa"/>
            <w:tcBorders>
              <w:top w:val="nil"/>
              <w:left w:val="nil"/>
              <w:bottom w:val="nil"/>
              <w:right w:val="nil"/>
            </w:tcBorders>
            <w:shd w:val="clear" w:color="auto" w:fill="FFFFFF"/>
            <w:tcMar>
              <w:top w:w="150" w:type="dxa"/>
              <w:left w:w="240" w:type="dxa"/>
              <w:bottom w:w="150" w:type="dxa"/>
              <w:right w:w="240" w:type="dxa"/>
            </w:tcMar>
            <w:vAlign w:val="center"/>
          </w:tcPr>
          <w:p w14:paraId="05021A11"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Team Collaboration</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02BCECBD"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3.65</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41CE1F6F"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0.76</w:t>
            </w:r>
          </w:p>
        </w:tc>
        <w:tc>
          <w:tcPr>
            <w:tcW w:w="1898" w:type="dxa"/>
            <w:tcBorders>
              <w:top w:val="nil"/>
              <w:left w:val="nil"/>
              <w:bottom w:val="nil"/>
              <w:right w:val="nil"/>
            </w:tcBorders>
            <w:shd w:val="clear" w:color="auto" w:fill="FFFFFF"/>
            <w:tcMar>
              <w:top w:w="150" w:type="dxa"/>
              <w:left w:w="240" w:type="dxa"/>
              <w:bottom w:w="150" w:type="dxa"/>
              <w:right w:w="-1" w:type="dxa"/>
            </w:tcMar>
            <w:vAlign w:val="center"/>
          </w:tcPr>
          <w:p w14:paraId="2F3ED027"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Moderate</w:t>
            </w:r>
          </w:p>
        </w:tc>
      </w:tr>
      <w:tr w:rsidR="005B2B67" w14:paraId="63C1BEB0" w14:textId="77777777">
        <w:trPr>
          <w:jc w:val="center"/>
        </w:trPr>
        <w:tc>
          <w:tcPr>
            <w:tcW w:w="2375" w:type="dxa"/>
            <w:tcBorders>
              <w:top w:val="nil"/>
              <w:left w:val="nil"/>
              <w:bottom w:val="nil"/>
              <w:right w:val="nil"/>
            </w:tcBorders>
            <w:shd w:val="clear" w:color="auto" w:fill="FFFFFF"/>
            <w:tcMar>
              <w:top w:w="150" w:type="dxa"/>
              <w:left w:w="-1" w:type="dxa"/>
              <w:bottom w:w="150" w:type="dxa"/>
              <w:right w:w="240" w:type="dxa"/>
            </w:tcMar>
            <w:vAlign w:val="center"/>
          </w:tcPr>
          <w:p w14:paraId="05070E3F" w14:textId="77777777" w:rsidR="005B2B67" w:rsidRDefault="00000000">
            <w:pPr>
              <w:snapToGrid w:val="0"/>
              <w:jc w:val="center"/>
              <w:rPr>
                <w:rFonts w:ascii="Times New Roman" w:eastAsia="Segoe UI" w:hAnsi="Times New Roman" w:cs="Times New Roman"/>
                <w:color w:val="08090C"/>
                <w:sz w:val="22"/>
                <w:szCs w:val="22"/>
              </w:rPr>
            </w:pPr>
            <w:r>
              <w:rPr>
                <w:rStyle w:val="Emphasis"/>
                <w:rFonts w:ascii="Times New Roman" w:eastAsia="Segoe UI" w:hAnsi="Times New Roman" w:cs="Times New Roman"/>
                <w:i w:val="0"/>
                <w:color w:val="08090C"/>
                <w:sz w:val="22"/>
                <w:szCs w:val="22"/>
                <w:lang w:bidi="ar"/>
              </w:rPr>
              <w:t>Dimension Total</w:t>
            </w:r>
          </w:p>
        </w:tc>
        <w:tc>
          <w:tcPr>
            <w:tcW w:w="2886" w:type="dxa"/>
            <w:tcBorders>
              <w:top w:val="nil"/>
              <w:left w:val="nil"/>
              <w:bottom w:val="nil"/>
              <w:right w:val="nil"/>
            </w:tcBorders>
            <w:shd w:val="clear" w:color="auto" w:fill="FFFFFF"/>
            <w:tcMar>
              <w:top w:w="150" w:type="dxa"/>
              <w:left w:w="240" w:type="dxa"/>
              <w:bottom w:w="150" w:type="dxa"/>
              <w:right w:w="240" w:type="dxa"/>
            </w:tcMar>
            <w:vAlign w:val="center"/>
          </w:tcPr>
          <w:p w14:paraId="59AA4166" w14:textId="77777777" w:rsidR="005B2B67" w:rsidRDefault="005B2B67">
            <w:pPr>
              <w:snapToGrid w:val="0"/>
              <w:jc w:val="center"/>
              <w:rPr>
                <w:rFonts w:ascii="Times New Roman" w:eastAsia="Segoe UI" w:hAnsi="Times New Roman" w:cs="Times New Roman"/>
                <w:color w:val="08090C"/>
                <w:sz w:val="22"/>
                <w:szCs w:val="22"/>
              </w:rPr>
            </w:pP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561E4631"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*3.63*</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73B81862"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*0.69*</w:t>
            </w:r>
          </w:p>
        </w:tc>
        <w:tc>
          <w:tcPr>
            <w:tcW w:w="1898" w:type="dxa"/>
            <w:tcBorders>
              <w:top w:val="nil"/>
              <w:left w:val="nil"/>
              <w:bottom w:val="nil"/>
              <w:right w:val="nil"/>
            </w:tcBorders>
            <w:shd w:val="clear" w:color="auto" w:fill="FFFFFF"/>
            <w:tcMar>
              <w:top w:w="150" w:type="dxa"/>
              <w:left w:w="240" w:type="dxa"/>
              <w:bottom w:w="150" w:type="dxa"/>
              <w:right w:w="-1" w:type="dxa"/>
            </w:tcMar>
            <w:vAlign w:val="center"/>
          </w:tcPr>
          <w:p w14:paraId="0CD65318" w14:textId="77777777" w:rsidR="005B2B67" w:rsidRDefault="00000000">
            <w:pPr>
              <w:snapToGrid w:val="0"/>
              <w:jc w:val="center"/>
              <w:rPr>
                <w:rFonts w:ascii="Times New Roman" w:eastAsia="Segoe UI" w:hAnsi="Times New Roman" w:cs="Times New Roman"/>
                <w:color w:val="08090C"/>
                <w:sz w:val="22"/>
                <w:szCs w:val="22"/>
              </w:rPr>
            </w:pPr>
            <w:r>
              <w:rPr>
                <w:rStyle w:val="Emphasis"/>
                <w:rFonts w:ascii="Times New Roman" w:eastAsia="Segoe UI" w:hAnsi="Times New Roman" w:cs="Times New Roman"/>
                <w:i w:val="0"/>
                <w:color w:val="08090C"/>
                <w:sz w:val="22"/>
                <w:szCs w:val="22"/>
                <w:lang w:bidi="ar"/>
              </w:rPr>
              <w:t>Moderate</w:t>
            </w:r>
          </w:p>
        </w:tc>
      </w:tr>
      <w:tr w:rsidR="005B2B67" w14:paraId="2AD5921F" w14:textId="77777777">
        <w:trPr>
          <w:jc w:val="center"/>
        </w:trPr>
        <w:tc>
          <w:tcPr>
            <w:tcW w:w="2375" w:type="dxa"/>
            <w:tcBorders>
              <w:top w:val="nil"/>
              <w:left w:val="nil"/>
              <w:bottom w:val="nil"/>
              <w:right w:val="nil"/>
            </w:tcBorders>
            <w:shd w:val="clear" w:color="auto" w:fill="FFFFFF"/>
            <w:tcMar>
              <w:top w:w="150" w:type="dxa"/>
              <w:left w:w="-1" w:type="dxa"/>
              <w:bottom w:w="150" w:type="dxa"/>
              <w:right w:w="240" w:type="dxa"/>
            </w:tcMar>
            <w:vAlign w:val="center"/>
          </w:tcPr>
          <w:p w14:paraId="0BC214FB" w14:textId="77777777" w:rsidR="005B2B67" w:rsidRDefault="00000000">
            <w:pPr>
              <w:snapToGrid w:val="0"/>
              <w:jc w:val="center"/>
              <w:rPr>
                <w:rFonts w:ascii="Times New Roman" w:eastAsia="Segoe UI" w:hAnsi="Times New Roman" w:cs="Times New Roman"/>
                <w:color w:val="08090C"/>
                <w:sz w:val="22"/>
                <w:szCs w:val="22"/>
              </w:rPr>
            </w:pPr>
            <w:r>
              <w:rPr>
                <w:rStyle w:val="Strong"/>
                <w:rFonts w:ascii="Times New Roman" w:eastAsia="Segoe UI" w:hAnsi="Times New Roman" w:cs="Times New Roman"/>
                <w:b w:val="0"/>
                <w:color w:val="08090C"/>
                <w:sz w:val="22"/>
                <w:szCs w:val="22"/>
                <w:lang w:bidi="ar"/>
              </w:rPr>
              <w:t>Personality Traits</w:t>
            </w:r>
          </w:p>
        </w:tc>
        <w:tc>
          <w:tcPr>
            <w:tcW w:w="2886" w:type="dxa"/>
            <w:tcBorders>
              <w:top w:val="nil"/>
              <w:left w:val="nil"/>
              <w:bottom w:val="nil"/>
              <w:right w:val="nil"/>
            </w:tcBorders>
            <w:shd w:val="clear" w:color="auto" w:fill="FFFFFF"/>
            <w:tcMar>
              <w:top w:w="150" w:type="dxa"/>
              <w:left w:w="240" w:type="dxa"/>
              <w:bottom w:w="150" w:type="dxa"/>
              <w:right w:w="240" w:type="dxa"/>
            </w:tcMar>
            <w:vAlign w:val="center"/>
          </w:tcPr>
          <w:p w14:paraId="602B6F18"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Responsibility</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430B8F9A"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3.77</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622BB49B"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0.75</w:t>
            </w:r>
          </w:p>
        </w:tc>
        <w:tc>
          <w:tcPr>
            <w:tcW w:w="1898" w:type="dxa"/>
            <w:tcBorders>
              <w:top w:val="nil"/>
              <w:left w:val="nil"/>
              <w:bottom w:val="nil"/>
              <w:right w:val="nil"/>
            </w:tcBorders>
            <w:shd w:val="clear" w:color="auto" w:fill="FFFFFF"/>
            <w:tcMar>
              <w:top w:w="150" w:type="dxa"/>
              <w:left w:w="240" w:type="dxa"/>
              <w:bottom w:w="150" w:type="dxa"/>
              <w:right w:w="-1" w:type="dxa"/>
            </w:tcMar>
            <w:vAlign w:val="center"/>
          </w:tcPr>
          <w:p w14:paraId="06B3F494"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High</w:t>
            </w:r>
          </w:p>
        </w:tc>
      </w:tr>
      <w:tr w:rsidR="005B2B67" w14:paraId="2CDA9C36" w14:textId="77777777">
        <w:trPr>
          <w:jc w:val="center"/>
        </w:trPr>
        <w:tc>
          <w:tcPr>
            <w:tcW w:w="2375" w:type="dxa"/>
            <w:tcBorders>
              <w:top w:val="nil"/>
              <w:left w:val="nil"/>
              <w:bottom w:val="nil"/>
              <w:right w:val="nil"/>
            </w:tcBorders>
            <w:shd w:val="clear" w:color="auto" w:fill="FFFFFF"/>
            <w:tcMar>
              <w:top w:w="150" w:type="dxa"/>
              <w:left w:w="-1" w:type="dxa"/>
              <w:bottom w:w="150" w:type="dxa"/>
              <w:right w:w="240" w:type="dxa"/>
            </w:tcMar>
            <w:vAlign w:val="center"/>
          </w:tcPr>
          <w:p w14:paraId="3407C2E3" w14:textId="77777777" w:rsidR="005B2B67" w:rsidRDefault="005B2B67">
            <w:pPr>
              <w:snapToGrid w:val="0"/>
              <w:jc w:val="center"/>
              <w:rPr>
                <w:rFonts w:ascii="Times New Roman" w:eastAsia="Segoe UI" w:hAnsi="Times New Roman" w:cs="Times New Roman"/>
                <w:color w:val="08090C"/>
                <w:sz w:val="22"/>
                <w:szCs w:val="22"/>
              </w:rPr>
            </w:pPr>
          </w:p>
        </w:tc>
        <w:tc>
          <w:tcPr>
            <w:tcW w:w="2886" w:type="dxa"/>
            <w:tcBorders>
              <w:top w:val="nil"/>
              <w:left w:val="nil"/>
              <w:bottom w:val="nil"/>
              <w:right w:val="nil"/>
            </w:tcBorders>
            <w:shd w:val="clear" w:color="auto" w:fill="FFFFFF"/>
            <w:tcMar>
              <w:top w:w="150" w:type="dxa"/>
              <w:left w:w="240" w:type="dxa"/>
              <w:bottom w:w="150" w:type="dxa"/>
              <w:right w:w="240" w:type="dxa"/>
            </w:tcMar>
            <w:vAlign w:val="center"/>
          </w:tcPr>
          <w:p w14:paraId="3CCDA698"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Communication</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3FCFF15B"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3.71</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0CF8AD4C"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0.78</w:t>
            </w:r>
          </w:p>
        </w:tc>
        <w:tc>
          <w:tcPr>
            <w:tcW w:w="1898" w:type="dxa"/>
            <w:tcBorders>
              <w:top w:val="nil"/>
              <w:left w:val="nil"/>
              <w:bottom w:val="nil"/>
              <w:right w:val="nil"/>
            </w:tcBorders>
            <w:shd w:val="clear" w:color="auto" w:fill="FFFFFF"/>
            <w:tcMar>
              <w:top w:w="150" w:type="dxa"/>
              <w:left w:w="240" w:type="dxa"/>
              <w:bottom w:w="150" w:type="dxa"/>
              <w:right w:w="-1" w:type="dxa"/>
            </w:tcMar>
            <w:vAlign w:val="center"/>
          </w:tcPr>
          <w:p w14:paraId="1F321964"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High</w:t>
            </w:r>
          </w:p>
        </w:tc>
      </w:tr>
      <w:tr w:rsidR="005B2B67" w14:paraId="62DF4692" w14:textId="77777777">
        <w:trPr>
          <w:jc w:val="center"/>
        </w:trPr>
        <w:tc>
          <w:tcPr>
            <w:tcW w:w="2375" w:type="dxa"/>
            <w:tcBorders>
              <w:top w:val="nil"/>
              <w:left w:val="nil"/>
              <w:bottom w:val="nil"/>
              <w:right w:val="nil"/>
            </w:tcBorders>
            <w:shd w:val="clear" w:color="auto" w:fill="FFFFFF"/>
            <w:tcMar>
              <w:top w:w="150" w:type="dxa"/>
              <w:left w:w="-1" w:type="dxa"/>
              <w:bottom w:w="150" w:type="dxa"/>
              <w:right w:w="240" w:type="dxa"/>
            </w:tcMar>
            <w:vAlign w:val="center"/>
          </w:tcPr>
          <w:p w14:paraId="1D1FED59" w14:textId="77777777" w:rsidR="005B2B67" w:rsidRDefault="005B2B67">
            <w:pPr>
              <w:snapToGrid w:val="0"/>
              <w:jc w:val="center"/>
              <w:rPr>
                <w:rFonts w:ascii="Times New Roman" w:eastAsia="Segoe UI" w:hAnsi="Times New Roman" w:cs="Times New Roman"/>
                <w:color w:val="08090C"/>
                <w:sz w:val="22"/>
                <w:szCs w:val="22"/>
              </w:rPr>
            </w:pPr>
          </w:p>
        </w:tc>
        <w:tc>
          <w:tcPr>
            <w:tcW w:w="2886" w:type="dxa"/>
            <w:tcBorders>
              <w:top w:val="nil"/>
              <w:left w:val="nil"/>
              <w:bottom w:val="nil"/>
              <w:right w:val="nil"/>
            </w:tcBorders>
            <w:shd w:val="clear" w:color="auto" w:fill="FFFFFF"/>
            <w:tcMar>
              <w:top w:w="150" w:type="dxa"/>
              <w:left w:w="240" w:type="dxa"/>
              <w:bottom w:w="150" w:type="dxa"/>
              <w:right w:w="240" w:type="dxa"/>
            </w:tcMar>
            <w:vAlign w:val="center"/>
          </w:tcPr>
          <w:p w14:paraId="54E4C67B"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Adaptability</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79C7D75F"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3.84</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7E82DC54"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0.73</w:t>
            </w:r>
          </w:p>
        </w:tc>
        <w:tc>
          <w:tcPr>
            <w:tcW w:w="1898" w:type="dxa"/>
            <w:tcBorders>
              <w:top w:val="nil"/>
              <w:left w:val="nil"/>
              <w:bottom w:val="nil"/>
              <w:right w:val="nil"/>
            </w:tcBorders>
            <w:shd w:val="clear" w:color="auto" w:fill="FFFFFF"/>
            <w:tcMar>
              <w:top w:w="150" w:type="dxa"/>
              <w:left w:w="240" w:type="dxa"/>
              <w:bottom w:w="150" w:type="dxa"/>
              <w:right w:w="-1" w:type="dxa"/>
            </w:tcMar>
            <w:vAlign w:val="center"/>
          </w:tcPr>
          <w:p w14:paraId="06C8A85B"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High</w:t>
            </w:r>
          </w:p>
        </w:tc>
      </w:tr>
      <w:tr w:rsidR="005B2B67" w14:paraId="1AF0CA96" w14:textId="77777777">
        <w:trPr>
          <w:jc w:val="center"/>
        </w:trPr>
        <w:tc>
          <w:tcPr>
            <w:tcW w:w="2375" w:type="dxa"/>
            <w:tcBorders>
              <w:top w:val="nil"/>
              <w:left w:val="nil"/>
              <w:bottom w:val="nil"/>
              <w:right w:val="nil"/>
            </w:tcBorders>
            <w:shd w:val="clear" w:color="auto" w:fill="FFFFFF"/>
            <w:tcMar>
              <w:top w:w="150" w:type="dxa"/>
              <w:left w:w="-1" w:type="dxa"/>
              <w:bottom w:w="150" w:type="dxa"/>
              <w:right w:w="240" w:type="dxa"/>
            </w:tcMar>
            <w:vAlign w:val="center"/>
          </w:tcPr>
          <w:p w14:paraId="2F90FEAC" w14:textId="77777777" w:rsidR="005B2B67" w:rsidRDefault="00000000">
            <w:pPr>
              <w:snapToGrid w:val="0"/>
              <w:jc w:val="center"/>
              <w:rPr>
                <w:rFonts w:ascii="Times New Roman" w:eastAsia="Segoe UI" w:hAnsi="Times New Roman" w:cs="Times New Roman"/>
                <w:color w:val="08090C"/>
                <w:sz w:val="22"/>
                <w:szCs w:val="22"/>
              </w:rPr>
            </w:pPr>
            <w:r>
              <w:rPr>
                <w:rStyle w:val="Emphasis"/>
                <w:rFonts w:ascii="Times New Roman" w:eastAsia="Segoe UI" w:hAnsi="Times New Roman" w:cs="Times New Roman"/>
                <w:i w:val="0"/>
                <w:color w:val="08090C"/>
                <w:sz w:val="22"/>
                <w:szCs w:val="22"/>
                <w:lang w:bidi="ar"/>
              </w:rPr>
              <w:t>Dimension Total</w:t>
            </w:r>
          </w:p>
        </w:tc>
        <w:tc>
          <w:tcPr>
            <w:tcW w:w="2886" w:type="dxa"/>
            <w:tcBorders>
              <w:top w:val="nil"/>
              <w:left w:val="nil"/>
              <w:bottom w:val="nil"/>
              <w:right w:val="nil"/>
            </w:tcBorders>
            <w:shd w:val="clear" w:color="auto" w:fill="FFFFFF"/>
            <w:tcMar>
              <w:top w:w="150" w:type="dxa"/>
              <w:left w:w="240" w:type="dxa"/>
              <w:bottom w:w="150" w:type="dxa"/>
              <w:right w:w="240" w:type="dxa"/>
            </w:tcMar>
            <w:vAlign w:val="center"/>
          </w:tcPr>
          <w:p w14:paraId="256A02A7" w14:textId="77777777" w:rsidR="005B2B67" w:rsidRDefault="005B2B67">
            <w:pPr>
              <w:snapToGrid w:val="0"/>
              <w:jc w:val="center"/>
              <w:rPr>
                <w:rFonts w:ascii="Times New Roman" w:eastAsia="Segoe UI" w:hAnsi="Times New Roman" w:cs="Times New Roman"/>
                <w:color w:val="08090C"/>
                <w:sz w:val="22"/>
                <w:szCs w:val="22"/>
              </w:rPr>
            </w:pP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71B5ADBD"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*3.77*</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4177E421"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*0.66*</w:t>
            </w:r>
          </w:p>
        </w:tc>
        <w:tc>
          <w:tcPr>
            <w:tcW w:w="1898" w:type="dxa"/>
            <w:tcBorders>
              <w:top w:val="nil"/>
              <w:left w:val="nil"/>
              <w:bottom w:val="nil"/>
              <w:right w:val="nil"/>
            </w:tcBorders>
            <w:shd w:val="clear" w:color="auto" w:fill="FFFFFF"/>
            <w:tcMar>
              <w:top w:w="150" w:type="dxa"/>
              <w:left w:w="240" w:type="dxa"/>
              <w:bottom w:w="150" w:type="dxa"/>
              <w:right w:w="-1" w:type="dxa"/>
            </w:tcMar>
            <w:vAlign w:val="center"/>
          </w:tcPr>
          <w:p w14:paraId="1C636B0F" w14:textId="77777777" w:rsidR="005B2B67" w:rsidRDefault="00000000">
            <w:pPr>
              <w:snapToGrid w:val="0"/>
              <w:jc w:val="center"/>
              <w:rPr>
                <w:rFonts w:ascii="Times New Roman" w:eastAsia="Segoe UI" w:hAnsi="Times New Roman" w:cs="Times New Roman"/>
                <w:color w:val="08090C"/>
                <w:sz w:val="22"/>
                <w:szCs w:val="22"/>
              </w:rPr>
            </w:pPr>
            <w:r>
              <w:rPr>
                <w:rStyle w:val="Emphasis"/>
                <w:rFonts w:ascii="Times New Roman" w:eastAsia="Segoe UI" w:hAnsi="Times New Roman" w:cs="Times New Roman"/>
                <w:i w:val="0"/>
                <w:color w:val="08090C"/>
                <w:sz w:val="22"/>
                <w:szCs w:val="22"/>
                <w:lang w:bidi="ar"/>
              </w:rPr>
              <w:t>High</w:t>
            </w:r>
          </w:p>
        </w:tc>
      </w:tr>
      <w:tr w:rsidR="005B2B67" w14:paraId="58BE1BB0" w14:textId="77777777">
        <w:trPr>
          <w:jc w:val="center"/>
        </w:trPr>
        <w:tc>
          <w:tcPr>
            <w:tcW w:w="2375" w:type="dxa"/>
            <w:tcBorders>
              <w:top w:val="nil"/>
              <w:left w:val="nil"/>
              <w:bottom w:val="nil"/>
              <w:right w:val="nil"/>
            </w:tcBorders>
            <w:shd w:val="clear" w:color="auto" w:fill="FFFFFF"/>
            <w:tcMar>
              <w:top w:w="150" w:type="dxa"/>
              <w:left w:w="-1" w:type="dxa"/>
              <w:bottom w:w="150" w:type="dxa"/>
              <w:right w:w="240" w:type="dxa"/>
            </w:tcMar>
            <w:vAlign w:val="center"/>
          </w:tcPr>
          <w:p w14:paraId="094BD821" w14:textId="77777777" w:rsidR="005B2B67" w:rsidRDefault="00000000">
            <w:pPr>
              <w:snapToGrid w:val="0"/>
              <w:jc w:val="center"/>
              <w:rPr>
                <w:rFonts w:ascii="Times New Roman" w:eastAsia="Segoe UI" w:hAnsi="Times New Roman" w:cs="Times New Roman"/>
                <w:color w:val="08090C"/>
                <w:sz w:val="22"/>
                <w:szCs w:val="22"/>
              </w:rPr>
            </w:pPr>
            <w:r>
              <w:rPr>
                <w:rStyle w:val="Strong"/>
                <w:rFonts w:ascii="Times New Roman" w:eastAsia="Segoe UI" w:hAnsi="Times New Roman" w:cs="Times New Roman"/>
                <w:b w:val="0"/>
                <w:color w:val="08090C"/>
                <w:sz w:val="22"/>
                <w:szCs w:val="22"/>
                <w:lang w:bidi="ar"/>
              </w:rPr>
              <w:t>Student Conception</w:t>
            </w:r>
          </w:p>
        </w:tc>
        <w:tc>
          <w:tcPr>
            <w:tcW w:w="2886" w:type="dxa"/>
            <w:tcBorders>
              <w:top w:val="nil"/>
              <w:left w:val="nil"/>
              <w:bottom w:val="nil"/>
              <w:right w:val="nil"/>
            </w:tcBorders>
            <w:shd w:val="clear" w:color="auto" w:fill="FFFFFF"/>
            <w:tcMar>
              <w:top w:w="150" w:type="dxa"/>
              <w:left w:w="240" w:type="dxa"/>
              <w:bottom w:w="150" w:type="dxa"/>
              <w:right w:w="240" w:type="dxa"/>
            </w:tcMar>
            <w:vAlign w:val="center"/>
          </w:tcPr>
          <w:p w14:paraId="7E10320F"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Student Development</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57D44D5C"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3.94</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54F54878"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0.76</w:t>
            </w:r>
          </w:p>
        </w:tc>
        <w:tc>
          <w:tcPr>
            <w:tcW w:w="1898" w:type="dxa"/>
            <w:tcBorders>
              <w:top w:val="nil"/>
              <w:left w:val="nil"/>
              <w:bottom w:val="nil"/>
              <w:right w:val="nil"/>
            </w:tcBorders>
            <w:shd w:val="clear" w:color="auto" w:fill="FFFFFF"/>
            <w:tcMar>
              <w:top w:w="150" w:type="dxa"/>
              <w:left w:w="240" w:type="dxa"/>
              <w:bottom w:w="150" w:type="dxa"/>
              <w:right w:w="-1" w:type="dxa"/>
            </w:tcMar>
            <w:vAlign w:val="center"/>
          </w:tcPr>
          <w:p w14:paraId="182AC61D"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High</w:t>
            </w:r>
          </w:p>
        </w:tc>
      </w:tr>
      <w:tr w:rsidR="005B2B67" w14:paraId="3383A674" w14:textId="77777777">
        <w:trPr>
          <w:jc w:val="center"/>
        </w:trPr>
        <w:tc>
          <w:tcPr>
            <w:tcW w:w="2375" w:type="dxa"/>
            <w:tcBorders>
              <w:top w:val="nil"/>
              <w:left w:val="nil"/>
              <w:bottom w:val="nil"/>
              <w:right w:val="nil"/>
            </w:tcBorders>
            <w:shd w:val="clear" w:color="auto" w:fill="FFFFFF"/>
            <w:tcMar>
              <w:top w:w="150" w:type="dxa"/>
              <w:left w:w="-1" w:type="dxa"/>
              <w:bottom w:w="150" w:type="dxa"/>
              <w:right w:w="240" w:type="dxa"/>
            </w:tcMar>
            <w:vAlign w:val="center"/>
          </w:tcPr>
          <w:p w14:paraId="396DCB27" w14:textId="77777777" w:rsidR="005B2B67" w:rsidRDefault="005B2B67">
            <w:pPr>
              <w:snapToGrid w:val="0"/>
              <w:jc w:val="center"/>
              <w:rPr>
                <w:rFonts w:ascii="Times New Roman" w:eastAsia="Segoe UI" w:hAnsi="Times New Roman" w:cs="Times New Roman"/>
                <w:color w:val="08090C"/>
                <w:sz w:val="22"/>
                <w:szCs w:val="22"/>
              </w:rPr>
            </w:pPr>
          </w:p>
        </w:tc>
        <w:tc>
          <w:tcPr>
            <w:tcW w:w="2886" w:type="dxa"/>
            <w:tcBorders>
              <w:top w:val="nil"/>
              <w:left w:val="nil"/>
              <w:bottom w:val="nil"/>
              <w:right w:val="nil"/>
            </w:tcBorders>
            <w:shd w:val="clear" w:color="auto" w:fill="FFFFFF"/>
            <w:tcMar>
              <w:top w:w="150" w:type="dxa"/>
              <w:left w:w="240" w:type="dxa"/>
              <w:bottom w:w="150" w:type="dxa"/>
              <w:right w:w="240" w:type="dxa"/>
            </w:tcMar>
            <w:vAlign w:val="center"/>
          </w:tcPr>
          <w:p w14:paraId="7DF7D1FC"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Individualized Teaching</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2AE0F4FA"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4.02</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502047E8"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0.71</w:t>
            </w:r>
          </w:p>
        </w:tc>
        <w:tc>
          <w:tcPr>
            <w:tcW w:w="1898" w:type="dxa"/>
            <w:tcBorders>
              <w:top w:val="nil"/>
              <w:left w:val="nil"/>
              <w:bottom w:val="nil"/>
              <w:right w:val="nil"/>
            </w:tcBorders>
            <w:shd w:val="clear" w:color="auto" w:fill="FFFFFF"/>
            <w:tcMar>
              <w:top w:w="150" w:type="dxa"/>
              <w:left w:w="240" w:type="dxa"/>
              <w:bottom w:w="150" w:type="dxa"/>
              <w:right w:w="-1" w:type="dxa"/>
            </w:tcMar>
            <w:vAlign w:val="center"/>
          </w:tcPr>
          <w:p w14:paraId="763C049D"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High</w:t>
            </w:r>
          </w:p>
        </w:tc>
      </w:tr>
      <w:tr w:rsidR="005B2B67" w14:paraId="6783BA9A" w14:textId="77777777">
        <w:trPr>
          <w:jc w:val="center"/>
        </w:trPr>
        <w:tc>
          <w:tcPr>
            <w:tcW w:w="2375" w:type="dxa"/>
            <w:tcBorders>
              <w:top w:val="nil"/>
              <w:left w:val="nil"/>
              <w:bottom w:val="nil"/>
              <w:right w:val="nil"/>
            </w:tcBorders>
            <w:shd w:val="clear" w:color="auto" w:fill="FFFFFF"/>
            <w:tcMar>
              <w:top w:w="150" w:type="dxa"/>
              <w:left w:w="-1" w:type="dxa"/>
              <w:bottom w:w="150" w:type="dxa"/>
              <w:right w:w="240" w:type="dxa"/>
            </w:tcMar>
            <w:vAlign w:val="center"/>
          </w:tcPr>
          <w:p w14:paraId="282744E3" w14:textId="77777777" w:rsidR="005B2B67" w:rsidRDefault="005B2B67">
            <w:pPr>
              <w:snapToGrid w:val="0"/>
              <w:jc w:val="center"/>
              <w:rPr>
                <w:rFonts w:ascii="Times New Roman" w:eastAsia="Segoe UI" w:hAnsi="Times New Roman" w:cs="Times New Roman"/>
                <w:color w:val="08090C"/>
                <w:sz w:val="22"/>
                <w:szCs w:val="22"/>
              </w:rPr>
            </w:pPr>
          </w:p>
        </w:tc>
        <w:tc>
          <w:tcPr>
            <w:tcW w:w="2886" w:type="dxa"/>
            <w:tcBorders>
              <w:top w:val="nil"/>
              <w:left w:val="nil"/>
              <w:bottom w:val="nil"/>
              <w:right w:val="nil"/>
            </w:tcBorders>
            <w:shd w:val="clear" w:color="auto" w:fill="FFFFFF"/>
            <w:tcMar>
              <w:top w:w="150" w:type="dxa"/>
              <w:left w:w="240" w:type="dxa"/>
              <w:bottom w:w="150" w:type="dxa"/>
              <w:right w:w="240" w:type="dxa"/>
            </w:tcMar>
            <w:vAlign w:val="center"/>
          </w:tcPr>
          <w:p w14:paraId="6EA0A23F"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Holistic Education</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45E9FF29"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3.91</w:t>
            </w:r>
          </w:p>
        </w:tc>
        <w:tc>
          <w:tcPr>
            <w:tcW w:w="1123" w:type="dxa"/>
            <w:tcBorders>
              <w:top w:val="nil"/>
              <w:left w:val="nil"/>
              <w:bottom w:val="nil"/>
              <w:right w:val="nil"/>
            </w:tcBorders>
            <w:shd w:val="clear" w:color="auto" w:fill="FFFFFF"/>
            <w:tcMar>
              <w:top w:w="150" w:type="dxa"/>
              <w:left w:w="240" w:type="dxa"/>
              <w:bottom w:w="150" w:type="dxa"/>
              <w:right w:w="240" w:type="dxa"/>
            </w:tcMar>
            <w:vAlign w:val="center"/>
          </w:tcPr>
          <w:p w14:paraId="1AFCEE57"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0.74</w:t>
            </w:r>
          </w:p>
        </w:tc>
        <w:tc>
          <w:tcPr>
            <w:tcW w:w="1898" w:type="dxa"/>
            <w:tcBorders>
              <w:top w:val="nil"/>
              <w:left w:val="nil"/>
              <w:bottom w:val="nil"/>
              <w:right w:val="nil"/>
            </w:tcBorders>
            <w:shd w:val="clear" w:color="auto" w:fill="FFFFFF"/>
            <w:tcMar>
              <w:top w:w="150" w:type="dxa"/>
              <w:left w:w="240" w:type="dxa"/>
              <w:bottom w:w="150" w:type="dxa"/>
              <w:right w:w="-1" w:type="dxa"/>
            </w:tcMar>
            <w:vAlign w:val="center"/>
          </w:tcPr>
          <w:p w14:paraId="38DF68ED"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High</w:t>
            </w:r>
          </w:p>
        </w:tc>
      </w:tr>
      <w:tr w:rsidR="005B2B67" w14:paraId="6552EE9E" w14:textId="77777777">
        <w:trPr>
          <w:jc w:val="center"/>
        </w:trPr>
        <w:tc>
          <w:tcPr>
            <w:tcW w:w="2375" w:type="dxa"/>
            <w:tcBorders>
              <w:top w:val="nil"/>
              <w:left w:val="nil"/>
              <w:bottom w:val="single" w:sz="12" w:space="0" w:color="000000" w:themeColor="dark1"/>
              <w:right w:val="nil"/>
            </w:tcBorders>
            <w:shd w:val="clear" w:color="auto" w:fill="FFFFFF"/>
            <w:tcMar>
              <w:top w:w="150" w:type="dxa"/>
              <w:left w:w="-1" w:type="dxa"/>
              <w:bottom w:w="150" w:type="dxa"/>
              <w:right w:w="240" w:type="dxa"/>
            </w:tcMar>
            <w:vAlign w:val="center"/>
          </w:tcPr>
          <w:p w14:paraId="43D8237B" w14:textId="77777777" w:rsidR="005B2B67" w:rsidRDefault="00000000">
            <w:pPr>
              <w:snapToGrid w:val="0"/>
              <w:jc w:val="center"/>
              <w:rPr>
                <w:rFonts w:ascii="Times New Roman" w:eastAsia="Segoe UI" w:hAnsi="Times New Roman" w:cs="Times New Roman"/>
                <w:color w:val="08090C"/>
                <w:sz w:val="22"/>
                <w:szCs w:val="22"/>
              </w:rPr>
            </w:pPr>
            <w:r>
              <w:rPr>
                <w:rStyle w:val="Emphasis"/>
                <w:rFonts w:ascii="Times New Roman" w:eastAsia="Segoe UI" w:hAnsi="Times New Roman" w:cs="Times New Roman"/>
                <w:i w:val="0"/>
                <w:color w:val="08090C"/>
                <w:sz w:val="22"/>
                <w:szCs w:val="22"/>
                <w:lang w:bidi="ar"/>
              </w:rPr>
              <w:t>Dimension Total</w:t>
            </w:r>
          </w:p>
        </w:tc>
        <w:tc>
          <w:tcPr>
            <w:tcW w:w="2886" w:type="dxa"/>
            <w:tcBorders>
              <w:top w:val="nil"/>
              <w:left w:val="nil"/>
              <w:bottom w:val="single" w:sz="12" w:space="0" w:color="000000" w:themeColor="dark1"/>
              <w:right w:val="nil"/>
            </w:tcBorders>
            <w:shd w:val="clear" w:color="auto" w:fill="FFFFFF"/>
            <w:tcMar>
              <w:top w:w="150" w:type="dxa"/>
              <w:left w:w="240" w:type="dxa"/>
              <w:bottom w:w="150" w:type="dxa"/>
              <w:right w:w="240" w:type="dxa"/>
            </w:tcMar>
            <w:vAlign w:val="center"/>
          </w:tcPr>
          <w:p w14:paraId="6AA8AC57" w14:textId="77777777" w:rsidR="005B2B67" w:rsidRDefault="005B2B67">
            <w:pPr>
              <w:snapToGrid w:val="0"/>
              <w:jc w:val="center"/>
              <w:rPr>
                <w:rFonts w:ascii="Times New Roman" w:eastAsia="Segoe UI" w:hAnsi="Times New Roman" w:cs="Times New Roman"/>
                <w:color w:val="08090C"/>
                <w:sz w:val="22"/>
                <w:szCs w:val="22"/>
              </w:rPr>
            </w:pPr>
          </w:p>
        </w:tc>
        <w:tc>
          <w:tcPr>
            <w:tcW w:w="1123" w:type="dxa"/>
            <w:tcBorders>
              <w:top w:val="nil"/>
              <w:left w:val="nil"/>
              <w:bottom w:val="single" w:sz="12" w:space="0" w:color="000000" w:themeColor="dark1"/>
              <w:right w:val="nil"/>
            </w:tcBorders>
            <w:shd w:val="clear" w:color="auto" w:fill="FFFFFF"/>
            <w:tcMar>
              <w:top w:w="150" w:type="dxa"/>
              <w:left w:w="240" w:type="dxa"/>
              <w:bottom w:w="150" w:type="dxa"/>
              <w:right w:w="240" w:type="dxa"/>
            </w:tcMar>
            <w:vAlign w:val="center"/>
          </w:tcPr>
          <w:p w14:paraId="49E85260"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*3.96*</w:t>
            </w:r>
          </w:p>
        </w:tc>
        <w:tc>
          <w:tcPr>
            <w:tcW w:w="1123" w:type="dxa"/>
            <w:tcBorders>
              <w:top w:val="nil"/>
              <w:left w:val="nil"/>
              <w:bottom w:val="single" w:sz="12" w:space="0" w:color="000000" w:themeColor="dark1"/>
              <w:right w:val="nil"/>
            </w:tcBorders>
            <w:shd w:val="clear" w:color="auto" w:fill="FFFFFF"/>
            <w:tcMar>
              <w:top w:w="150" w:type="dxa"/>
              <w:left w:w="240" w:type="dxa"/>
              <w:bottom w:w="150" w:type="dxa"/>
              <w:right w:w="240" w:type="dxa"/>
            </w:tcMar>
            <w:vAlign w:val="center"/>
          </w:tcPr>
          <w:p w14:paraId="21CCAC4C" w14:textId="77777777" w:rsidR="005B2B67" w:rsidRDefault="00000000">
            <w:pPr>
              <w:snapToGrid w:val="0"/>
              <w:jc w:val="center"/>
              <w:rPr>
                <w:rFonts w:ascii="Times New Roman" w:eastAsia="Segoe UI" w:hAnsi="Times New Roman" w:cs="Times New Roman"/>
                <w:color w:val="08090C"/>
                <w:sz w:val="22"/>
                <w:szCs w:val="22"/>
              </w:rPr>
            </w:pPr>
            <w:r>
              <w:rPr>
                <w:rFonts w:ascii="Times New Roman" w:eastAsia="Segoe UI" w:hAnsi="Times New Roman" w:cs="Times New Roman"/>
                <w:color w:val="08090C"/>
                <w:sz w:val="22"/>
                <w:szCs w:val="22"/>
                <w:lang w:bidi="ar"/>
              </w:rPr>
              <w:t>*0.69*</w:t>
            </w:r>
          </w:p>
        </w:tc>
        <w:tc>
          <w:tcPr>
            <w:tcW w:w="1898" w:type="dxa"/>
            <w:tcBorders>
              <w:top w:val="nil"/>
              <w:left w:val="nil"/>
              <w:bottom w:val="single" w:sz="12" w:space="0" w:color="000000" w:themeColor="dark1"/>
              <w:right w:val="nil"/>
            </w:tcBorders>
            <w:shd w:val="clear" w:color="auto" w:fill="FFFFFF"/>
            <w:tcMar>
              <w:top w:w="150" w:type="dxa"/>
              <w:left w:w="240" w:type="dxa"/>
              <w:bottom w:w="150" w:type="dxa"/>
              <w:right w:w="-1" w:type="dxa"/>
            </w:tcMar>
            <w:vAlign w:val="center"/>
          </w:tcPr>
          <w:p w14:paraId="7AAEFC8D" w14:textId="77777777" w:rsidR="005B2B67" w:rsidRDefault="00000000">
            <w:pPr>
              <w:snapToGrid w:val="0"/>
              <w:jc w:val="center"/>
              <w:rPr>
                <w:rFonts w:ascii="Times New Roman" w:eastAsia="Segoe UI" w:hAnsi="Times New Roman" w:cs="Times New Roman"/>
                <w:color w:val="08090C"/>
                <w:sz w:val="22"/>
                <w:szCs w:val="22"/>
              </w:rPr>
            </w:pPr>
            <w:r>
              <w:rPr>
                <w:rStyle w:val="Emphasis"/>
                <w:rFonts w:ascii="Times New Roman" w:eastAsia="Segoe UI" w:hAnsi="Times New Roman" w:cs="Times New Roman"/>
                <w:i w:val="0"/>
                <w:color w:val="08090C"/>
                <w:sz w:val="22"/>
                <w:szCs w:val="22"/>
                <w:lang w:bidi="ar"/>
              </w:rPr>
              <w:t>High</w:t>
            </w:r>
          </w:p>
        </w:tc>
      </w:tr>
    </w:tbl>
    <w:p w14:paraId="54224830" w14:textId="77777777" w:rsidR="005B2B67" w:rsidRDefault="005B2B67">
      <w:pPr>
        <w:tabs>
          <w:tab w:val="right" w:pos="8289"/>
        </w:tabs>
        <w:ind w:firstLineChars="200" w:firstLine="480"/>
        <w:jc w:val="thaiDistribute"/>
        <w:rPr>
          <w:rFonts w:ascii="Times New Roman" w:eastAsia="Times New Roman" w:hAnsi="Times New Roman" w:cs="Times New Roman"/>
          <w:color w:val="000000"/>
          <w:lang w:val="en" w:bidi="th-TH"/>
        </w:rPr>
      </w:pPr>
    </w:p>
    <w:p w14:paraId="6AE91798"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 xml:space="preserve">The sub-dimension analysis reveals important nuances within each competency area. Within Knowledge &amp; Skills, Teaching Skills (mean = 4.08) and Technology Application (mean = 4.06) scored higher than Sports Knowledge (mean = 3.97), suggesting that teachers feel more </w:t>
      </w:r>
      <w:r>
        <w:rPr>
          <w:rFonts w:ascii="Times New Roman" w:eastAsia="Times New Roman" w:hAnsi="Times New Roman" w:cs="Times New Roman" w:hint="eastAsia"/>
          <w:color w:val="000000"/>
          <w:lang w:val="en" w:bidi="th-TH"/>
        </w:rPr>
        <w:lastRenderedPageBreak/>
        <w:t>confident in their pedagogical and technological capabilities than in their theoretical knowledge base. In Teaching Organization, the gap between Instructional Design (mean = 3.99) and Classroom Management (mean = 3.58) is particularly striking, indicating that while teachers can plan effectively, they struggle with implementation in real classroom settings. The Professionalism dimension shows consistently moderate scores across all three sub-dimensions, with Development Willingness (mean = 3.59) being the lowest, confirming the need for interventions targeting teachers' motivation and planning for professional growth. Personality Traits demonstrate relatively balanced scores, with Adaptability (mean = 3.84) scoring highest, reflecting teachers' resilience in challenging circumstances. Student Conception shows strong scores across all sub-dimensions, with Individualized Teaching (mean = 4.02) particularly noteworthy, indicating teachers' commitment to addressing diverse student needs.</w:t>
      </w:r>
    </w:p>
    <w:p w14:paraId="38AEFF4B" w14:textId="77777777" w:rsidR="005B2B67" w:rsidRDefault="005B2B67">
      <w:pPr>
        <w:tabs>
          <w:tab w:val="right" w:pos="8289"/>
        </w:tabs>
        <w:ind w:firstLineChars="200" w:firstLine="480"/>
        <w:jc w:val="thaiDistribute"/>
        <w:rPr>
          <w:rFonts w:ascii="Times New Roman" w:eastAsia="Times New Roman" w:hAnsi="Times New Roman" w:cs="Times New Roman"/>
          <w:color w:val="000000"/>
          <w:lang w:val="en" w:bidi="th-TH"/>
        </w:rPr>
      </w:pPr>
    </w:p>
    <w:p w14:paraId="4195139F" w14:textId="77777777" w:rsidR="005B2B67" w:rsidRDefault="00000000">
      <w:pPr>
        <w:rPr>
          <w:rFonts w:ascii="Times New Roman" w:hAnsi="Times New Roman" w:cs="Times New Roman"/>
          <w:b/>
          <w:color w:val="000000" w:themeColor="text1"/>
          <w:lang w:val="en"/>
        </w:rPr>
      </w:pPr>
      <w:r>
        <w:rPr>
          <w:rFonts w:ascii="Times New Roman" w:hAnsi="Times New Roman" w:cs="Times New Roman" w:hint="eastAsia"/>
          <w:b/>
          <w:color w:val="000000" w:themeColor="text1"/>
          <w:lang w:val="en"/>
        </w:rPr>
        <w:t>AHP Weighting Results</w:t>
      </w:r>
    </w:p>
    <w:p w14:paraId="77AE0C24"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The AHP analysis of seven experts' judgments yielded the following weights for the five primary competency dimensions:</w:t>
      </w:r>
      <w:r>
        <w:rPr>
          <w:rFonts w:ascii="Times New Roman" w:hAnsi="Times New Roman" w:cs="Times New Roman" w:hint="eastAsia"/>
          <w:color w:val="000000"/>
          <w:lang w:bidi="th-TH"/>
        </w:rPr>
        <w:t xml:space="preserve"> </w:t>
      </w:r>
      <w:r>
        <w:rPr>
          <w:rFonts w:ascii="Times New Roman" w:eastAsia="Times New Roman" w:hAnsi="Times New Roman" w:cs="Times New Roman" w:hint="eastAsia"/>
          <w:color w:val="000000"/>
          <w:lang w:val="en" w:bidi="th-TH"/>
        </w:rPr>
        <w:t>Student Conception: 0.37 (High Priority)</w:t>
      </w:r>
      <w:r>
        <w:rPr>
          <w:rFonts w:ascii="Times New Roman" w:hAnsi="Times New Roman" w:cs="Times New Roman" w:hint="eastAsia"/>
          <w:color w:val="000000"/>
          <w:lang w:bidi="th-TH"/>
        </w:rPr>
        <w:t xml:space="preserve">, </w:t>
      </w:r>
      <w:r>
        <w:rPr>
          <w:rFonts w:ascii="Times New Roman" w:eastAsia="Times New Roman" w:hAnsi="Times New Roman" w:cs="Times New Roman" w:hint="eastAsia"/>
          <w:color w:val="000000"/>
          <w:lang w:val="en" w:bidi="th-TH"/>
        </w:rPr>
        <w:t>Professionalism: 0.27 (Medium Priority)</w:t>
      </w:r>
      <w:r>
        <w:rPr>
          <w:rFonts w:ascii="Times New Roman" w:hAnsi="Times New Roman" w:cs="Times New Roman" w:hint="eastAsia"/>
          <w:color w:val="000000"/>
          <w:lang w:bidi="th-TH"/>
        </w:rPr>
        <w:t xml:space="preserve">, </w:t>
      </w:r>
      <w:r>
        <w:rPr>
          <w:rFonts w:ascii="Times New Roman" w:eastAsia="Times New Roman" w:hAnsi="Times New Roman" w:cs="Times New Roman" w:hint="eastAsia"/>
          <w:color w:val="000000"/>
          <w:lang w:val="en" w:bidi="th-TH"/>
        </w:rPr>
        <w:t>Personality Traits: 0.16 (Foundational)</w:t>
      </w:r>
      <w:r>
        <w:rPr>
          <w:rFonts w:ascii="Times New Roman" w:hAnsi="Times New Roman" w:cs="Times New Roman" w:hint="eastAsia"/>
          <w:color w:val="000000"/>
          <w:lang w:bidi="th-TH"/>
        </w:rPr>
        <w:t xml:space="preserve">, </w:t>
      </w:r>
      <w:r>
        <w:rPr>
          <w:rFonts w:ascii="Times New Roman" w:eastAsia="Times New Roman" w:hAnsi="Times New Roman" w:cs="Times New Roman" w:hint="eastAsia"/>
          <w:color w:val="000000"/>
          <w:lang w:val="en" w:bidi="th-TH"/>
        </w:rPr>
        <w:t>Teaching Organization: 0.10 (Foundational)</w:t>
      </w:r>
      <w:r>
        <w:rPr>
          <w:rFonts w:ascii="Times New Roman" w:hAnsi="Times New Roman" w:cs="Times New Roman" w:hint="eastAsia"/>
          <w:color w:val="000000"/>
          <w:lang w:bidi="th-TH"/>
        </w:rPr>
        <w:t xml:space="preserve">, </w:t>
      </w:r>
      <w:r>
        <w:rPr>
          <w:rFonts w:ascii="Times New Roman" w:eastAsia="Times New Roman" w:hAnsi="Times New Roman" w:cs="Times New Roman" w:hint="eastAsia"/>
          <w:color w:val="000000"/>
          <w:lang w:val="en" w:bidi="th-TH"/>
        </w:rPr>
        <w:t>Knowledge &amp; Skills: 0.07 (Foundational)</w:t>
      </w:r>
      <w:r>
        <w:rPr>
          <w:rFonts w:ascii="Times New Roman" w:hAnsi="Times New Roman" w:cs="Times New Roman" w:hint="eastAsia"/>
          <w:color w:val="000000"/>
          <w:lang w:bidi="th-TH"/>
        </w:rPr>
        <w:t xml:space="preserve">, </w:t>
      </w:r>
      <w:r>
        <w:rPr>
          <w:rFonts w:ascii="Times New Roman" w:eastAsia="Times New Roman" w:hAnsi="Times New Roman" w:cs="Times New Roman" w:hint="eastAsia"/>
          <w:color w:val="000000"/>
          <w:lang w:val="en" w:bidi="th-TH"/>
        </w:rPr>
        <w:t>The consistency ratio (CR) was 0.03, well below the 0.10 threshold, indicating high consistency among expert judgments.</w:t>
      </w:r>
    </w:p>
    <w:p w14:paraId="493175FA" w14:textId="77777777" w:rsidR="005B2B67" w:rsidRDefault="00000000">
      <w:pPr>
        <w:tabs>
          <w:tab w:val="right" w:pos="8289"/>
        </w:tabs>
        <w:ind w:firstLineChars="200" w:firstLine="480"/>
        <w:jc w:val="thaiDistribute"/>
        <w:rPr>
          <w:rFonts w:ascii="Times New Roman" w:hAnsi="Times New Roman" w:cs="Times New Roman"/>
          <w:color w:val="000000"/>
          <w:lang w:val="en" w:bidi="th-TH"/>
        </w:rPr>
      </w:pPr>
      <w:r>
        <w:rPr>
          <w:rFonts w:ascii="Times New Roman" w:eastAsia="Times New Roman" w:hAnsi="Times New Roman" w:cs="Times New Roman" w:hint="eastAsia"/>
          <w:color w:val="000000"/>
          <w:lang w:val="en" w:bidi="th-TH"/>
        </w:rPr>
        <w:t>The qualitative data from expert interviews and focus group discussions provided rich insights into the underlying causes of the competency gaps and informed the development of the guideline. Thematic analysis of interview transcripts revealed four major themes</w:t>
      </w:r>
      <w:r>
        <w:rPr>
          <w:rFonts w:ascii="Times New Roman" w:hAnsi="Times New Roman" w:cs="Times New Roman" w:hint="eastAsia"/>
          <w:color w:val="000000"/>
          <w:lang w:bidi="th-TH"/>
        </w:rPr>
        <w:t>.</w:t>
      </w:r>
    </w:p>
    <w:p w14:paraId="5D814779"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Theme 1: Systemic Constraints in Private Universities</w:t>
      </w:r>
    </w:p>
    <w:p w14:paraId="78A89D73"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All seven experts consistently identified systemic factors as primary barriers to teacher competency development. Expert 2, a department director with 19 years of experience, noted: 'In private universities, the pressure to maximize enrollment and minimize costs often means that faculty development is viewed as an expense rather than an investment. Physical education, unfortunately, is frequently marginalized because it doesn't directly contribute to the university's marketable image in the same way as high-profile academic programs.' Expert 5 elaborated: 'The evaluation system is fundamentally flawed. Teachers are judged almost exclusively on teaching hours and competition results, with little recognition of teaching innovation, student development, or research activities. This creates a perverse incentive structure where teachers focus on quantity rather than quality.'</w:t>
      </w:r>
    </w:p>
    <w:p w14:paraId="68EA6D1D"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Theme 2: Resource Scarcity and Innovation Barriers</w:t>
      </w:r>
    </w:p>
    <w:p w14:paraId="68E69A1C" w14:textId="60C33DBA"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Resource limitations emerged as a critical challenge affecting multiple competency dimensions. Expert 3 observed: 'Many private universities have adequate basic facilities</w:t>
      </w:r>
      <w:r w:rsidR="001D74E2">
        <w:rPr>
          <w:rFonts w:ascii="Times New Roman" w:eastAsia="Times New Roman" w:hAnsi="Times New Roman" w:cs="Times New Roman"/>
          <w:color w:val="000000"/>
          <w:lang w:val="en" w:bidi="th-TH"/>
        </w:rPr>
        <w:t xml:space="preserve"> </w:t>
      </w:r>
      <w:r>
        <w:rPr>
          <w:rFonts w:ascii="Times New Roman" w:eastAsia="Times New Roman" w:hAnsi="Times New Roman" w:cs="Times New Roman" w:hint="eastAsia"/>
          <w:color w:val="000000"/>
          <w:lang w:val="en" w:bidi="th-TH"/>
        </w:rPr>
        <w:t>basketball courts, soccer fields</w:t>
      </w:r>
      <w:r w:rsidR="001D74E2">
        <w:rPr>
          <w:rFonts w:ascii="Times New Roman" w:eastAsia="Times New Roman" w:hAnsi="Times New Roman" w:cs="Times New Roman"/>
          <w:color w:val="000000"/>
          <w:lang w:val="en" w:bidi="th-TH"/>
        </w:rPr>
        <w:t xml:space="preserve"> </w:t>
      </w:r>
      <w:r>
        <w:rPr>
          <w:rFonts w:ascii="Times New Roman" w:eastAsia="Times New Roman" w:hAnsi="Times New Roman" w:cs="Times New Roman" w:hint="eastAsia"/>
          <w:color w:val="000000"/>
          <w:lang w:val="en" w:bidi="th-TH"/>
        </w:rPr>
        <w:t>but lack investment in the technologies and support systems that enable innovative teaching. Motion analysis software, heart rate monitoring systems, and even basic video equipment for skill analysis are often unavailable.' Expert 7 added: 'The scarcity extends beyond physical resources to human resources. With small departments and heavy teaching loads, teachers have limited opportunities for peer observation, collaborative lesson planning, or interdisciplinary exchange. They work in isolation, which stifles innovation and professional growth.'</w:t>
      </w:r>
    </w:p>
    <w:p w14:paraId="6225E800"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Theme 3: Professional Identity and Motivation</w:t>
      </w:r>
    </w:p>
    <w:p w14:paraId="2B5311C5"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Several experts highlighted the connection between teacher motivation and the unique context of private universities. Expert 1 explained: 'Teachers in private institutions often experience a sense of precariousness. Without the job security of tenure, many focus on meeting immediate performance metrics rather than investing in long-term professional development. This short-term orientation undermines the development of deeper competencies like professionalism and student conception.' Expert 4 noted: 'There's also a</w:t>
      </w:r>
      <w:r>
        <w:rPr>
          <w:rFonts w:ascii="Times New Roman" w:hAnsi="Times New Roman" w:cs="Times New Roman" w:hint="eastAsia"/>
          <w:color w:val="000000"/>
          <w:lang w:bidi="th-TH"/>
        </w:rPr>
        <w:t>n</w:t>
      </w:r>
      <w:r>
        <w:rPr>
          <w:rFonts w:ascii="Times New Roman" w:eastAsia="Times New Roman" w:hAnsi="Times New Roman" w:cs="Times New Roman" w:hint="eastAsia"/>
          <w:color w:val="000000"/>
          <w:lang w:val="en" w:bidi="th-TH"/>
        </w:rPr>
        <w:t xml:space="preserve"> issue of professional identity. Physical education is sometimes perceived as less academically rigorous than other disciplines, both by the institution and by teachers themselves. This perception affects teachers' motivation to engage in research, pursue advanced degrees, or experiment with innovative pedagogies.'</w:t>
      </w:r>
    </w:p>
    <w:p w14:paraId="574F9CE0"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lastRenderedPageBreak/>
        <w:t>Theme 4: Need for Contextualized Development Approaches</w:t>
      </w:r>
    </w:p>
    <w:p w14:paraId="7BB35160"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Experts unanimously emphasized that development strategies must be tailored to the private university context. Expert 6 stated: 'We cannot simply transplant models from public universities. Private institutions need approaches that acknowledge resource constraints while maximizing impact. This means focusing on low-cost, high-impact strategies like peer learning networks, shared resources across institutions, and leveraging technology for efficient professional development.' Expert 3 added: 'The guideline must also recognize the diversity within private universities—some are large, well-funded institutions, while others operate with minimal resources. A one-size-fits-all approach won't work.'</w:t>
      </w:r>
    </w:p>
    <w:p w14:paraId="0E238DD4"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These qualitative findings directly informed the structure and content of the guideline, ensuring that the recommended strategies address the systemic, resource-related, and motivational challenges identified by experts.</w:t>
      </w:r>
    </w:p>
    <w:p w14:paraId="0DD811DC" w14:textId="77777777" w:rsidR="005B2B67" w:rsidRDefault="005B2B67">
      <w:pPr>
        <w:tabs>
          <w:tab w:val="right" w:pos="8289"/>
        </w:tabs>
        <w:ind w:firstLineChars="200" w:firstLine="480"/>
        <w:jc w:val="thaiDistribute"/>
        <w:rPr>
          <w:rFonts w:ascii="Times New Roman" w:eastAsia="Times New Roman" w:hAnsi="Times New Roman" w:cs="Times New Roman"/>
          <w:color w:val="000000"/>
          <w:lang w:val="en" w:bidi="th-TH"/>
        </w:rPr>
      </w:pPr>
    </w:p>
    <w:p w14:paraId="6A8DC277" w14:textId="77777777" w:rsidR="005B2B67" w:rsidRDefault="00000000">
      <w:pPr>
        <w:rPr>
          <w:rFonts w:ascii="Times New Roman" w:hAnsi="Times New Roman" w:cs="Times New Roman"/>
          <w:b/>
          <w:color w:val="000000" w:themeColor="text1"/>
          <w:lang w:val="en"/>
        </w:rPr>
      </w:pPr>
      <w:r>
        <w:rPr>
          <w:rFonts w:ascii="Times New Roman" w:hAnsi="Times New Roman" w:cs="Times New Roman" w:hint="eastAsia"/>
          <w:b/>
          <w:color w:val="000000" w:themeColor="text1"/>
          <w:lang w:val="en"/>
        </w:rPr>
        <w:t>Validated Guideline Framework</w:t>
      </w:r>
    </w:p>
    <w:p w14:paraId="43D50380"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Based on the findings and expert consensus, a guideline was developed with six core action areas, each targeting specific competency dimensions with star-rated priorities derived from AHP weights:</w:t>
      </w:r>
    </w:p>
    <w:p w14:paraId="16FD1118" w14:textId="77777777" w:rsidR="005B2B67" w:rsidRDefault="00000000">
      <w:pPr>
        <w:numPr>
          <w:ilvl w:val="0"/>
          <w:numId w:val="1"/>
        </w:numPr>
        <w:tabs>
          <w:tab w:val="right" w:pos="8289"/>
        </w:tabs>
        <w:ind w:left="0"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Institutional Support &amp; Policy Optimization – Focus on Professionalism (★★★) and Student Conception (★★★)</w:t>
      </w:r>
    </w:p>
    <w:p w14:paraId="7584D37C" w14:textId="77777777" w:rsidR="005B2B67" w:rsidRDefault="00000000">
      <w:pPr>
        <w:numPr>
          <w:ilvl w:val="0"/>
          <w:numId w:val="1"/>
        </w:numPr>
        <w:tabs>
          <w:tab w:val="right" w:pos="8289"/>
        </w:tabs>
        <w:ind w:left="0"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Targeted Competency Development – Focus on Teaching Organization (★★) and Professionalism (★★★)</w:t>
      </w:r>
    </w:p>
    <w:p w14:paraId="6DDC8CE7" w14:textId="77777777" w:rsidR="005B2B67" w:rsidRDefault="00000000">
      <w:pPr>
        <w:numPr>
          <w:ilvl w:val="0"/>
          <w:numId w:val="1"/>
        </w:numPr>
        <w:tabs>
          <w:tab w:val="right" w:pos="8289"/>
        </w:tabs>
        <w:ind w:left="0"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Resource Sharing &amp; Collaborative Innovation – Focus on Teaching Organization (★★) and Knowledge &amp; Skills (★)</w:t>
      </w:r>
    </w:p>
    <w:p w14:paraId="37DDB966" w14:textId="77777777" w:rsidR="005B2B67" w:rsidRDefault="00000000">
      <w:pPr>
        <w:numPr>
          <w:ilvl w:val="0"/>
          <w:numId w:val="1"/>
        </w:numPr>
        <w:tabs>
          <w:tab w:val="right" w:pos="8289"/>
        </w:tabs>
        <w:ind w:left="0"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Technology Integration &amp; Pedagogical Innovation – Focus on Knowledge &amp; Skills (★) and Teaching Organization (★★)</w:t>
      </w:r>
    </w:p>
    <w:p w14:paraId="6D6EB82C" w14:textId="77777777" w:rsidR="005B2B67" w:rsidRDefault="00000000">
      <w:pPr>
        <w:numPr>
          <w:ilvl w:val="0"/>
          <w:numId w:val="1"/>
        </w:numPr>
        <w:tabs>
          <w:tab w:val="right" w:pos="8289"/>
        </w:tabs>
        <w:ind w:left="0"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Teacher Well-being &amp; Sustainable Development – Focus on Personality Traits (★) and Professionalism (★★★)</w:t>
      </w:r>
    </w:p>
    <w:p w14:paraId="5B160DE7" w14:textId="77777777" w:rsidR="005B2B67" w:rsidRDefault="00000000">
      <w:pPr>
        <w:numPr>
          <w:ilvl w:val="0"/>
          <w:numId w:val="1"/>
        </w:numPr>
        <w:tabs>
          <w:tab w:val="right" w:pos="8289"/>
        </w:tabs>
        <w:ind w:left="0"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Continuous Quality Assurance – Focus on Professionalism (★★★) and Student Conception (★★★)</w:t>
      </w:r>
    </w:p>
    <w:p w14:paraId="240044C7"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The guideline provides specific, actionable recommendations for university administrators, physical education departments, provincial alliances, and individual teachers.</w:t>
      </w:r>
    </w:p>
    <w:p w14:paraId="0EBD8EEC" w14:textId="77777777" w:rsidR="005B2B67" w:rsidRDefault="005B2B67">
      <w:pPr>
        <w:tabs>
          <w:tab w:val="right" w:pos="8289"/>
        </w:tabs>
        <w:ind w:firstLineChars="200" w:firstLine="480"/>
        <w:jc w:val="thaiDistribute"/>
        <w:rPr>
          <w:rFonts w:ascii="Times New Roman" w:eastAsia="Times New Roman" w:hAnsi="Times New Roman" w:cs="Times New Roman"/>
          <w:color w:val="000000"/>
          <w:lang w:val="en" w:bidi="th-TH"/>
        </w:rPr>
      </w:pPr>
    </w:p>
    <w:p w14:paraId="5AA28350" w14:textId="77777777" w:rsidR="005B2B67" w:rsidRDefault="00000000">
      <w:pPr>
        <w:rPr>
          <w:rFonts w:ascii="Times New Roman" w:hAnsi="Times New Roman" w:cs="Times New Roman"/>
          <w:b/>
          <w:color w:val="000000" w:themeColor="text1"/>
          <w:lang w:val="en"/>
        </w:rPr>
      </w:pPr>
      <w:r>
        <w:rPr>
          <w:rFonts w:ascii="Times New Roman" w:hAnsi="Times New Roman" w:cs="Times New Roman" w:hint="eastAsia"/>
          <w:b/>
          <w:color w:val="000000" w:themeColor="text1"/>
          <w:lang w:val="en"/>
        </w:rPr>
        <w:t>Discussion</w:t>
      </w:r>
    </w:p>
    <w:p w14:paraId="1974AAE5"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This study confirms the applicability of competency theory (McClelland, 1973; Spencer &amp; Spencer, 1993) to teacher professional development in the private university context. The low scores on Professionalism align with the Iceberg Model's assertion that deeper traits (self-concept, motives) are harder to develop yet crucial for superior performance. The findings also resonate with previous research on teacher competency in China (Xu &amp; Zhang, 2006; Zhu, 2010), highlighting the need for targeted interventions in discriminative competencies such as innovation willingness and professional development planning.</w:t>
      </w:r>
    </w:p>
    <w:p w14:paraId="25B97EC1" w14:textId="6777A55B"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The identification of Student Conception as the highest-priority dimension reflects the paradigm shift toward student-centered education (Wang et al., 2023). Teachers demonstrated strong philosophical alignment but showed gaps in translating this into practice, particularly in fostering lifelong exercise habits</w:t>
      </w:r>
      <w:r w:rsidR="001D74E2">
        <w:rPr>
          <w:rFonts w:ascii="Times New Roman" w:eastAsia="Times New Roman" w:hAnsi="Times New Roman" w:cs="Times New Roman"/>
          <w:color w:val="000000"/>
          <w:lang w:val="en" w:bidi="th-TH"/>
        </w:rPr>
        <w:t xml:space="preserve">, </w:t>
      </w:r>
      <w:r>
        <w:rPr>
          <w:rFonts w:ascii="Times New Roman" w:eastAsia="Times New Roman" w:hAnsi="Times New Roman" w:cs="Times New Roman" w:hint="eastAsia"/>
          <w:color w:val="000000"/>
          <w:lang w:val="en" w:bidi="th-TH"/>
        </w:rPr>
        <w:t>a challenge requiring reflective practice and evidence-based decision-making (Meng, 2017).</w:t>
      </w:r>
    </w:p>
    <w:p w14:paraId="6BCDD907"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The use of AHP to weight dimensions builds on methodological innovations in recent sport-specific competency research (He, 2022; Dai, 2022). The strong expert consensus (CR = 0.03) validates the reliability of the derived weights and provides a quantitative basis for prioritizing development efforts.</w:t>
      </w:r>
    </w:p>
    <w:p w14:paraId="361BA6A2"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 xml:space="preserve">This study extends existing literature by contextualizing competency development within the resource-constrained environment of private universities. Challenges such as adaptability to </w:t>
      </w:r>
      <w:r>
        <w:rPr>
          <w:rFonts w:ascii="Times New Roman" w:eastAsia="Times New Roman" w:hAnsi="Times New Roman" w:cs="Times New Roman" w:hint="eastAsia"/>
          <w:color w:val="000000"/>
          <w:lang w:val="en" w:bidi="th-TH"/>
        </w:rPr>
        <w:lastRenderedPageBreak/>
        <w:t>limited resources and multi-tasking pressures (items 4.3.1 and 4.3.3) represent contributions specific to this sector, underscoring the need for context-sensitive guidelines.</w:t>
      </w:r>
    </w:p>
    <w:p w14:paraId="6B1D0016"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While this study makes significant contributions, several limitations should be acknowledged when interpreting the findings. First, the research focused exclusively on private universities in Guangdong Province, which may limit the generalizability of findings to other regions or to public institutions. The unique socio-economic context of Guangdong, including its high level of economic development and concentration of private higher education institutions, may mean that competency challenges and development needs differ in other provincial contexts. Future research should replicate this study in other regions to examine the consistency of findings and identify region-specific factors influencing teacher competency.</w:t>
      </w:r>
    </w:p>
    <w:p w14:paraId="0EC4B2CA"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Second, the competency assessment relied on teacher self-report data, which may be subject to social desirability bias or inaccurate self-perception. While self-assessment provides valuable insights into teachers' perceptions of their own competencies, future research should incorporate multiple assessment methods, including classroom observations, student evaluations, and peer assessments, to provide a more comprehensive and objective picture of teacher competency.</w:t>
      </w:r>
    </w:p>
    <w:p w14:paraId="391DA90F"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Third, this study focused on developing a guideline but did not evaluate its implementation or effectiveness. The true test of the guideline's value lies in its application in real-world settings. Future research should conduct longitudinal studies examining the impact of guideline implementation on teacher competency development, teaching quality, and student outcomes. Such research would provide evidence of the guideline's effectiveness and identify factors that facilitate or hinder successful implementation.</w:t>
      </w:r>
    </w:p>
    <w:p w14:paraId="25EC168E"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Fourth, while the AHP method provided valuable quantitative weights for competency dimensions, these weights reflect the judgments of a specific panel of experts. Different expert panels might produce different weight distributions. Future research could explore the stability of these weights across different expert groups and examine whether the priority dimensions vary by stakeholder perspective (e.g., administrators vs. teachers vs. students).</w:t>
      </w:r>
    </w:p>
    <w:p w14:paraId="7C40F68C" w14:textId="44197854"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Despite these limitations, the study's methodological rigor</w:t>
      </w:r>
      <w:r w:rsidR="001D74E2">
        <w:rPr>
          <w:rFonts w:ascii="Times New Roman" w:eastAsia="Times New Roman" w:hAnsi="Times New Roman" w:cs="Times New Roman"/>
          <w:color w:val="000000"/>
          <w:lang w:val="en" w:bidi="th-TH"/>
        </w:rPr>
        <w:t xml:space="preserve">, </w:t>
      </w:r>
      <w:r>
        <w:rPr>
          <w:rFonts w:ascii="Times New Roman" w:eastAsia="Times New Roman" w:hAnsi="Times New Roman" w:cs="Times New Roman" w:hint="eastAsia"/>
          <w:color w:val="000000"/>
          <w:lang w:val="en" w:bidi="th-TH"/>
        </w:rPr>
        <w:t>including the multi-stage expert consultation, the use of both quantitative and qualitative methods, and the application of AHP for weight determination</w:t>
      </w:r>
      <w:r w:rsidR="001D74E2">
        <w:rPr>
          <w:rFonts w:ascii="Times New Roman" w:eastAsia="Times New Roman" w:hAnsi="Times New Roman" w:cs="Times New Roman"/>
          <w:color w:val="000000"/>
          <w:lang w:val="en" w:bidi="th-TH"/>
        </w:rPr>
        <w:t xml:space="preserve">, </w:t>
      </w:r>
      <w:r>
        <w:rPr>
          <w:rFonts w:ascii="Times New Roman" w:eastAsia="Times New Roman" w:hAnsi="Times New Roman" w:cs="Times New Roman" w:hint="eastAsia"/>
          <w:color w:val="000000"/>
          <w:lang w:val="en" w:bidi="th-TH"/>
        </w:rPr>
        <w:t>provides confidence in the validity and reliability of the findings. The developed guideline represents a scientifically grounded, contextually appropriate framework that addresses a significant gap in the literature and practice of physical education teacher development in private universities.</w:t>
      </w:r>
    </w:p>
    <w:p w14:paraId="1DA80002" w14:textId="77777777" w:rsidR="005B2B67" w:rsidRDefault="005B2B67">
      <w:pPr>
        <w:tabs>
          <w:tab w:val="right" w:pos="8289"/>
        </w:tabs>
        <w:ind w:firstLineChars="200" w:firstLine="480"/>
        <w:jc w:val="thaiDistribute"/>
        <w:rPr>
          <w:rFonts w:ascii="Times New Roman" w:eastAsia="Times New Roman" w:hAnsi="Times New Roman" w:cs="Times New Roman"/>
          <w:color w:val="000000"/>
          <w:lang w:val="en" w:bidi="th-TH"/>
        </w:rPr>
      </w:pPr>
    </w:p>
    <w:p w14:paraId="0E279E5A" w14:textId="77777777" w:rsidR="005B2B67" w:rsidRDefault="00000000">
      <w:pPr>
        <w:rPr>
          <w:rFonts w:ascii="Times New Roman" w:hAnsi="Times New Roman" w:cs="Times New Roman"/>
          <w:b/>
          <w:color w:val="000000" w:themeColor="text1"/>
          <w:lang w:val="en"/>
        </w:rPr>
      </w:pPr>
      <w:r>
        <w:rPr>
          <w:rFonts w:ascii="Times New Roman" w:hAnsi="Times New Roman" w:cs="Times New Roman" w:hint="eastAsia"/>
          <w:b/>
          <w:color w:val="000000" w:themeColor="text1"/>
          <w:lang w:val="en"/>
        </w:rPr>
        <w:t>Conclusion</w:t>
      </w:r>
    </w:p>
    <w:p w14:paraId="3B90299C" w14:textId="77777777" w:rsidR="005B2B67" w:rsidRDefault="00000000">
      <w:pPr>
        <w:tabs>
          <w:tab w:val="right" w:pos="8289"/>
        </w:tabs>
        <w:ind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 xml:space="preserve">This research successfully developed a validated competency development guideline for physical education teachers in private universities in Guangdong Province. The guideline is grounded in established competency theory, informed by empirical investigation of </w:t>
      </w:r>
      <w:proofErr w:type="gramStart"/>
      <w:r>
        <w:rPr>
          <w:rFonts w:ascii="Times New Roman" w:eastAsia="Times New Roman" w:hAnsi="Times New Roman" w:cs="Times New Roman" w:hint="eastAsia"/>
          <w:color w:val="000000"/>
          <w:lang w:val="en" w:bidi="th-TH"/>
        </w:rPr>
        <w:t>current status</w:t>
      </w:r>
      <w:proofErr w:type="gramEnd"/>
      <w:r>
        <w:rPr>
          <w:rFonts w:ascii="Times New Roman" w:eastAsia="Times New Roman" w:hAnsi="Times New Roman" w:cs="Times New Roman" w:hint="eastAsia"/>
          <w:color w:val="000000"/>
          <w:lang w:val="en" w:bidi="th-TH"/>
        </w:rPr>
        <w:t xml:space="preserve"> and challenges, and refined through multi-stage expert consultation. The AHP results provide a clear prioritization framework, with Student Conception and Professionalism identified as the most critical dimensions. The six core action areas offer a systematic, actionable roadmap for universities and teachers to enhance teacher competency, ultimately contributing to improved teaching quality and student development in physical education.</w:t>
      </w:r>
    </w:p>
    <w:p w14:paraId="6B02CA5B" w14:textId="77777777" w:rsidR="005B2B67" w:rsidRDefault="005B2B67">
      <w:pPr>
        <w:tabs>
          <w:tab w:val="right" w:pos="8289"/>
        </w:tabs>
        <w:ind w:firstLineChars="200" w:firstLine="480"/>
        <w:jc w:val="thaiDistribute"/>
        <w:rPr>
          <w:rFonts w:ascii="Times New Roman" w:eastAsia="Times New Roman" w:hAnsi="Times New Roman" w:cs="Times New Roman"/>
          <w:color w:val="000000"/>
          <w:lang w:val="en" w:bidi="th-TH"/>
        </w:rPr>
      </w:pPr>
    </w:p>
    <w:p w14:paraId="2139D79A" w14:textId="77777777" w:rsidR="005B2B67" w:rsidRDefault="00000000">
      <w:pPr>
        <w:rPr>
          <w:rFonts w:ascii="Times New Roman" w:hAnsi="Times New Roman" w:cs="Times New Roman"/>
          <w:b/>
          <w:color w:val="000000" w:themeColor="text1"/>
          <w:lang w:val="en"/>
        </w:rPr>
      </w:pPr>
      <w:r>
        <w:rPr>
          <w:rFonts w:ascii="Times New Roman" w:hAnsi="Times New Roman" w:cs="Times New Roman" w:hint="eastAsia"/>
          <w:b/>
          <w:color w:val="000000" w:themeColor="text1"/>
          <w:lang w:val="en"/>
        </w:rPr>
        <w:t>Recommendations</w:t>
      </w:r>
    </w:p>
    <w:p w14:paraId="4F645E78" w14:textId="77777777" w:rsidR="005B2B67" w:rsidRDefault="00000000">
      <w:pPr>
        <w:numPr>
          <w:ilvl w:val="0"/>
          <w:numId w:val="2"/>
        </w:numPr>
        <w:tabs>
          <w:tab w:val="right" w:pos="8289"/>
        </w:tabs>
        <w:ind w:left="0"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Conduct pilot applications of the guideline in representative private universities to gather implementation feedback and refine the framework.</w:t>
      </w:r>
    </w:p>
    <w:p w14:paraId="23DD13E1" w14:textId="77777777" w:rsidR="005B2B67" w:rsidRDefault="00000000">
      <w:pPr>
        <w:numPr>
          <w:ilvl w:val="0"/>
          <w:numId w:val="2"/>
        </w:numPr>
        <w:tabs>
          <w:tab w:val="right" w:pos="8289"/>
        </w:tabs>
        <w:ind w:left="0"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Promote dissemination and institutional integration through channels such as the Guangdong Private Education Association.</w:t>
      </w:r>
    </w:p>
    <w:p w14:paraId="7E2089E4" w14:textId="77777777" w:rsidR="005B2B67" w:rsidRDefault="00000000">
      <w:pPr>
        <w:numPr>
          <w:ilvl w:val="0"/>
          <w:numId w:val="2"/>
        </w:numPr>
        <w:tabs>
          <w:tab w:val="right" w:pos="8289"/>
        </w:tabs>
        <w:ind w:left="0"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Develop supporting tools (self-assessment scales, case libraries, micro-credential modules) to lower implementation barriers.</w:t>
      </w:r>
    </w:p>
    <w:p w14:paraId="45444647" w14:textId="77777777" w:rsidR="005B2B67" w:rsidRDefault="00000000">
      <w:pPr>
        <w:numPr>
          <w:ilvl w:val="0"/>
          <w:numId w:val="2"/>
        </w:numPr>
        <w:tabs>
          <w:tab w:val="right" w:pos="8289"/>
        </w:tabs>
        <w:ind w:left="0"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Establish a regular review mechanism to update the guideline every 2–3 years based on evolving policies and research.</w:t>
      </w:r>
    </w:p>
    <w:p w14:paraId="2B48D156" w14:textId="77777777" w:rsidR="005B2B67" w:rsidRPr="001D74E2" w:rsidRDefault="005B2B67">
      <w:pPr>
        <w:tabs>
          <w:tab w:val="right" w:pos="8289"/>
        </w:tabs>
        <w:jc w:val="thaiDistribute"/>
        <w:rPr>
          <w:rFonts w:ascii="Times New Roman" w:eastAsia="Times New Roman" w:hAnsi="Times New Roman" w:cs="Times New Roman"/>
          <w:color w:val="000000"/>
          <w:lang w:bidi="th-TH"/>
        </w:rPr>
      </w:pPr>
    </w:p>
    <w:p w14:paraId="5824EAAE" w14:textId="77777777" w:rsidR="005B2B67" w:rsidRDefault="00000000">
      <w:pPr>
        <w:rPr>
          <w:rFonts w:ascii="Times New Roman" w:hAnsi="Times New Roman" w:cs="Times New Roman"/>
          <w:b/>
          <w:color w:val="000000" w:themeColor="text1"/>
          <w:lang w:val="en"/>
        </w:rPr>
      </w:pPr>
      <w:r>
        <w:rPr>
          <w:rFonts w:ascii="Times New Roman" w:hAnsi="Times New Roman" w:cs="Times New Roman" w:hint="eastAsia"/>
          <w:b/>
          <w:color w:val="000000" w:themeColor="text1"/>
          <w:lang w:val="en"/>
        </w:rPr>
        <w:lastRenderedPageBreak/>
        <w:t>Recommendations for Further Research</w:t>
      </w:r>
    </w:p>
    <w:p w14:paraId="4CCFB8B3" w14:textId="77777777" w:rsidR="005B2B67" w:rsidRDefault="00000000">
      <w:pPr>
        <w:numPr>
          <w:ilvl w:val="0"/>
          <w:numId w:val="3"/>
        </w:numPr>
        <w:tabs>
          <w:tab w:val="right" w:pos="8289"/>
        </w:tabs>
        <w:ind w:left="0"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Expand the research scope to include private universities in other provinces or conduct comparative studies with public universities.</w:t>
      </w:r>
    </w:p>
    <w:p w14:paraId="0F9BC88F" w14:textId="77777777" w:rsidR="005B2B67" w:rsidRDefault="00000000">
      <w:pPr>
        <w:numPr>
          <w:ilvl w:val="0"/>
          <w:numId w:val="3"/>
        </w:numPr>
        <w:tabs>
          <w:tab w:val="right" w:pos="8289"/>
        </w:tabs>
        <w:ind w:left="0"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Conduct longitudinal studies to examine long-term changes in teacher competency and student outcomes following guideline implementation.</w:t>
      </w:r>
    </w:p>
    <w:p w14:paraId="5F1F301F" w14:textId="77777777" w:rsidR="005B2B67" w:rsidRDefault="00000000">
      <w:pPr>
        <w:numPr>
          <w:ilvl w:val="0"/>
          <w:numId w:val="3"/>
        </w:numPr>
        <w:tabs>
          <w:tab w:val="right" w:pos="8289"/>
        </w:tabs>
        <w:ind w:left="0"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Deepen research on specific dimensions, particularly the internal drive mechanisms of Professionalism and effective training models for emergency response skills.</w:t>
      </w:r>
    </w:p>
    <w:p w14:paraId="113FE10C" w14:textId="77777777" w:rsidR="005B2B67" w:rsidRDefault="00000000">
      <w:pPr>
        <w:numPr>
          <w:ilvl w:val="0"/>
          <w:numId w:val="3"/>
        </w:numPr>
        <w:tabs>
          <w:tab w:val="right" w:pos="8289"/>
        </w:tabs>
        <w:ind w:left="0" w:firstLineChars="200" w:firstLine="480"/>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Investigate the efficacy of technology-enabled teaching innovations in physical education, including AI, VR/AR, and data analytics.</w:t>
      </w:r>
    </w:p>
    <w:p w14:paraId="15EF3ECE" w14:textId="77777777" w:rsidR="005B2B67" w:rsidRDefault="005B2B67">
      <w:pPr>
        <w:tabs>
          <w:tab w:val="right" w:pos="8289"/>
        </w:tabs>
        <w:ind w:firstLineChars="200" w:firstLine="480"/>
        <w:jc w:val="thaiDistribute"/>
        <w:rPr>
          <w:rFonts w:ascii="Times New Roman" w:eastAsia="Times New Roman" w:hAnsi="Times New Roman" w:cs="Times New Roman"/>
          <w:color w:val="000000"/>
          <w:lang w:val="en" w:bidi="th-TH"/>
        </w:rPr>
      </w:pPr>
    </w:p>
    <w:p w14:paraId="51FF764C" w14:textId="77777777" w:rsidR="005B2B67" w:rsidRDefault="00000000">
      <w:pPr>
        <w:jc w:val="center"/>
        <w:rPr>
          <w:rFonts w:ascii="Times New Roman" w:hAnsi="Times New Roman" w:cs="Times New Roman"/>
          <w:b/>
          <w:color w:val="000000" w:themeColor="text1"/>
          <w:lang w:val="en"/>
        </w:rPr>
      </w:pPr>
      <w:r>
        <w:rPr>
          <w:rFonts w:ascii="Times New Roman" w:hAnsi="Times New Roman" w:cs="Times New Roman" w:hint="eastAsia"/>
          <w:b/>
          <w:color w:val="000000" w:themeColor="text1"/>
          <w:lang w:val="en"/>
        </w:rPr>
        <w:t>References</w:t>
      </w:r>
    </w:p>
    <w:p w14:paraId="009A756F" w14:textId="77777777" w:rsidR="005B2B67" w:rsidRDefault="00000000" w:rsidP="001D74E2">
      <w:pPr>
        <w:tabs>
          <w:tab w:val="right" w:pos="8289"/>
        </w:tabs>
        <w:ind w:left="567" w:hanging="567"/>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Dai, L. (2022). Research on the competency of college sports dance teachers [</w:t>
      </w:r>
      <w:proofErr w:type="gramStart"/>
      <w:r>
        <w:rPr>
          <w:rFonts w:ascii="Times New Roman" w:eastAsia="Times New Roman" w:hAnsi="Times New Roman" w:cs="Times New Roman" w:hint="eastAsia"/>
          <w:color w:val="000000"/>
          <w:lang w:val="en" w:bidi="th-TH"/>
        </w:rPr>
        <w:t>Master's</w:t>
      </w:r>
      <w:proofErr w:type="gramEnd"/>
      <w:r>
        <w:rPr>
          <w:rFonts w:ascii="Times New Roman" w:eastAsia="Times New Roman" w:hAnsi="Times New Roman" w:cs="Times New Roman" w:hint="eastAsia"/>
          <w:color w:val="000000"/>
          <w:lang w:val="en" w:bidi="th-TH"/>
        </w:rPr>
        <w:t xml:space="preserve"> thesis, Qinghai Normal University].</w:t>
      </w:r>
    </w:p>
    <w:p w14:paraId="0C956D11" w14:textId="77777777" w:rsidR="005B2B67" w:rsidRDefault="00000000" w:rsidP="001D74E2">
      <w:pPr>
        <w:tabs>
          <w:tab w:val="right" w:pos="8289"/>
        </w:tabs>
        <w:ind w:left="567" w:hanging="567"/>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 xml:space="preserve">Du, X. Y., &amp; Peng, X. M. (2011). On the exit mechanism of college teachers in China. </w:t>
      </w:r>
      <w:r>
        <w:rPr>
          <w:rFonts w:ascii="Times New Roman" w:eastAsia="Times New Roman" w:hAnsi="Times New Roman" w:cs="Times New Roman" w:hint="eastAsia"/>
          <w:i/>
          <w:iCs/>
          <w:color w:val="000000"/>
          <w:lang w:val="en" w:bidi="th-TH"/>
        </w:rPr>
        <w:t>Journal of National Academy of Education Administration</w:t>
      </w:r>
      <w:r>
        <w:rPr>
          <w:rFonts w:ascii="Times New Roman" w:eastAsia="Times New Roman" w:hAnsi="Times New Roman" w:cs="Times New Roman" w:hint="eastAsia"/>
          <w:color w:val="000000"/>
          <w:lang w:val="en" w:bidi="th-TH"/>
        </w:rPr>
        <w:t>, (2), 72–76.</w:t>
      </w:r>
    </w:p>
    <w:p w14:paraId="30111A72" w14:textId="77777777" w:rsidR="005B2B67" w:rsidRDefault="00000000" w:rsidP="001D74E2">
      <w:pPr>
        <w:tabs>
          <w:tab w:val="right" w:pos="8289"/>
        </w:tabs>
        <w:ind w:left="567" w:hanging="567"/>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Guangdong Provincial Department of Education. (2022). Action plan for comprehensively strengthening and improving school sports work in the new era in Guangdong Province [Policy document].</w:t>
      </w:r>
    </w:p>
    <w:p w14:paraId="018D8B3F" w14:textId="77777777" w:rsidR="005B2B67" w:rsidRDefault="00000000" w:rsidP="001D74E2">
      <w:pPr>
        <w:tabs>
          <w:tab w:val="right" w:pos="8289"/>
        </w:tabs>
        <w:ind w:left="567" w:hanging="567"/>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He, Y. D. (2020). Research on the competency evaluation of volleyball teachers in ordinary colleges and universities in Sichuan Province [</w:t>
      </w:r>
      <w:proofErr w:type="gramStart"/>
      <w:r>
        <w:rPr>
          <w:rFonts w:ascii="Times New Roman" w:eastAsia="Times New Roman" w:hAnsi="Times New Roman" w:cs="Times New Roman" w:hint="eastAsia"/>
          <w:color w:val="000000"/>
          <w:lang w:val="en" w:bidi="th-TH"/>
        </w:rPr>
        <w:t>Master's</w:t>
      </w:r>
      <w:proofErr w:type="gramEnd"/>
      <w:r>
        <w:rPr>
          <w:rFonts w:ascii="Times New Roman" w:eastAsia="Times New Roman" w:hAnsi="Times New Roman" w:cs="Times New Roman" w:hint="eastAsia"/>
          <w:color w:val="000000"/>
          <w:lang w:val="en" w:bidi="th-TH"/>
        </w:rPr>
        <w:t xml:space="preserve"> thesis, Chengdu Sport University].</w:t>
      </w:r>
    </w:p>
    <w:p w14:paraId="5776A9D8" w14:textId="77777777" w:rsidR="005B2B67" w:rsidRDefault="00000000" w:rsidP="001D74E2">
      <w:pPr>
        <w:tabs>
          <w:tab w:val="right" w:pos="8289"/>
        </w:tabs>
        <w:ind w:left="567" w:hanging="567"/>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Liu, X. X. (2016). Construction of a competency evaluation index system for primary school physical education teachers [</w:t>
      </w:r>
      <w:proofErr w:type="gramStart"/>
      <w:r>
        <w:rPr>
          <w:rFonts w:ascii="Times New Roman" w:eastAsia="Times New Roman" w:hAnsi="Times New Roman" w:cs="Times New Roman" w:hint="eastAsia"/>
          <w:color w:val="000000"/>
          <w:lang w:val="en" w:bidi="th-TH"/>
        </w:rPr>
        <w:t>Master's</w:t>
      </w:r>
      <w:proofErr w:type="gramEnd"/>
      <w:r>
        <w:rPr>
          <w:rFonts w:ascii="Times New Roman" w:eastAsia="Times New Roman" w:hAnsi="Times New Roman" w:cs="Times New Roman" w:hint="eastAsia"/>
          <w:color w:val="000000"/>
          <w:lang w:val="en" w:bidi="th-TH"/>
        </w:rPr>
        <w:t xml:space="preserve"> thesis, Beijing Sport University].</w:t>
      </w:r>
    </w:p>
    <w:p w14:paraId="01ED390D" w14:textId="77777777" w:rsidR="005B2B67" w:rsidRDefault="00000000" w:rsidP="001D74E2">
      <w:pPr>
        <w:tabs>
          <w:tab w:val="right" w:pos="8289"/>
        </w:tabs>
        <w:ind w:left="567" w:hanging="567"/>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 xml:space="preserve">McClelland, D. C. (1973). Testing for competence rather than for "intelligence." </w:t>
      </w:r>
      <w:r>
        <w:rPr>
          <w:rFonts w:ascii="Times New Roman" w:eastAsia="Times New Roman" w:hAnsi="Times New Roman" w:cs="Times New Roman" w:hint="eastAsia"/>
          <w:i/>
          <w:iCs/>
          <w:color w:val="000000"/>
          <w:lang w:val="en" w:bidi="th-TH"/>
        </w:rPr>
        <w:t>American Psychologist</w:t>
      </w:r>
      <w:r>
        <w:rPr>
          <w:rFonts w:ascii="Times New Roman" w:eastAsia="Times New Roman" w:hAnsi="Times New Roman" w:cs="Times New Roman" w:hint="eastAsia"/>
          <w:color w:val="000000"/>
          <w:lang w:val="en" w:bidi="th-TH"/>
        </w:rPr>
        <w:t>, 28(1), 1–14.</w:t>
      </w:r>
    </w:p>
    <w:p w14:paraId="1F55E8C4" w14:textId="77777777" w:rsidR="005B2B67" w:rsidRDefault="00000000" w:rsidP="001D74E2">
      <w:pPr>
        <w:tabs>
          <w:tab w:val="right" w:pos="8289"/>
        </w:tabs>
        <w:ind w:left="567" w:hanging="567"/>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 xml:space="preserve">Meng, W. (2017). Construction of a competency evaluation index system for college physical education teachers. </w:t>
      </w:r>
      <w:r>
        <w:rPr>
          <w:rFonts w:ascii="Times New Roman" w:eastAsia="Times New Roman" w:hAnsi="Times New Roman" w:cs="Times New Roman" w:hint="eastAsia"/>
          <w:i/>
          <w:iCs/>
          <w:color w:val="000000"/>
          <w:lang w:val="en" w:bidi="th-TH"/>
        </w:rPr>
        <w:t>Journal of Nanjing Institute of Technology (Social Science Edition)</w:t>
      </w:r>
      <w:r>
        <w:rPr>
          <w:rFonts w:ascii="Times New Roman" w:eastAsia="Times New Roman" w:hAnsi="Times New Roman" w:cs="Times New Roman" w:hint="eastAsia"/>
          <w:color w:val="000000"/>
          <w:lang w:val="en" w:bidi="th-TH"/>
        </w:rPr>
        <w:t>, 17(3), 56–61.</w:t>
      </w:r>
    </w:p>
    <w:p w14:paraId="6AAD6A90" w14:textId="77777777" w:rsidR="005B2B67" w:rsidRDefault="00000000" w:rsidP="001D74E2">
      <w:pPr>
        <w:tabs>
          <w:tab w:val="right" w:pos="8289"/>
        </w:tabs>
        <w:ind w:left="567" w:hanging="567"/>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Ministry of Education of the People's Republic of China. (2021). Guiding outline for teaching reform of physical education and health (trial) [Policy document].</w:t>
      </w:r>
    </w:p>
    <w:p w14:paraId="0DE5AAD3" w14:textId="77777777" w:rsidR="005B2B67" w:rsidRDefault="00000000" w:rsidP="001D74E2">
      <w:pPr>
        <w:tabs>
          <w:tab w:val="right" w:pos="8289"/>
        </w:tabs>
        <w:ind w:left="567" w:hanging="567"/>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 xml:space="preserve">Spencer, L. M., &amp; Spencer, S. M. (1993). Competence at work: Models for superior performance. </w:t>
      </w:r>
      <w:r>
        <w:rPr>
          <w:rFonts w:ascii="Times New Roman" w:eastAsia="Times New Roman" w:hAnsi="Times New Roman" w:cs="Times New Roman" w:hint="eastAsia"/>
          <w:i/>
          <w:iCs/>
          <w:color w:val="000000"/>
          <w:lang w:val="en" w:bidi="th-TH"/>
        </w:rPr>
        <w:t>John Wiley &amp; Sons</w:t>
      </w:r>
      <w:r>
        <w:rPr>
          <w:rFonts w:ascii="Times New Roman" w:eastAsia="Times New Roman" w:hAnsi="Times New Roman" w:cs="Times New Roman" w:hint="eastAsia"/>
          <w:color w:val="000000"/>
          <w:lang w:val="en" w:bidi="th-TH"/>
        </w:rPr>
        <w:t>.</w:t>
      </w:r>
    </w:p>
    <w:p w14:paraId="3439ABE2" w14:textId="77777777" w:rsidR="005B2B67" w:rsidRDefault="00000000" w:rsidP="001D74E2">
      <w:pPr>
        <w:tabs>
          <w:tab w:val="right" w:pos="8289"/>
        </w:tabs>
        <w:ind w:left="567" w:hanging="567"/>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State Council of the People's Republic of China. (2018). Opinions on comprehensively deepening the reform of the construction of the teaching workforce in the new era [Policy document].</w:t>
      </w:r>
    </w:p>
    <w:p w14:paraId="5284FFAD" w14:textId="77777777" w:rsidR="005B2B67" w:rsidRDefault="00000000" w:rsidP="001D74E2">
      <w:pPr>
        <w:tabs>
          <w:tab w:val="right" w:pos="8289"/>
        </w:tabs>
        <w:ind w:left="567" w:hanging="567"/>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 xml:space="preserve">Wang, X., Ni, J. M., &amp; Li, Y. Z. (2023). Exploration of paths to improve the teaching competency of rural primary school teachers from an interdisciplinary perspective. </w:t>
      </w:r>
      <w:r>
        <w:rPr>
          <w:rFonts w:ascii="Times New Roman" w:eastAsia="Times New Roman" w:hAnsi="Times New Roman" w:cs="Times New Roman" w:hint="eastAsia"/>
          <w:i/>
          <w:iCs/>
          <w:color w:val="000000"/>
          <w:lang w:val="en" w:bidi="th-TH"/>
        </w:rPr>
        <w:t>Teaching and Administration</w:t>
      </w:r>
      <w:r>
        <w:rPr>
          <w:rFonts w:ascii="Times New Roman" w:eastAsia="Times New Roman" w:hAnsi="Times New Roman" w:cs="Times New Roman" w:hint="eastAsia"/>
          <w:color w:val="000000"/>
          <w:lang w:val="en" w:bidi="th-TH"/>
        </w:rPr>
        <w:t>, (30), 50–55.</w:t>
      </w:r>
    </w:p>
    <w:p w14:paraId="2D925D83" w14:textId="2B54F8D9" w:rsidR="005B2B67" w:rsidRDefault="00000000" w:rsidP="001D74E2">
      <w:pPr>
        <w:tabs>
          <w:tab w:val="right" w:pos="8289"/>
        </w:tabs>
        <w:ind w:left="567" w:hanging="567"/>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 xml:space="preserve">Xu, J. P., &amp; Zhang, H. C. (2006). Competency evaluation index system for primary and secondary school teachers: A behavioral event interview study. </w:t>
      </w:r>
      <w:r>
        <w:rPr>
          <w:rFonts w:ascii="Times New Roman" w:eastAsia="Times New Roman" w:hAnsi="Times New Roman" w:cs="Times New Roman" w:hint="eastAsia"/>
          <w:i/>
          <w:iCs/>
          <w:color w:val="000000"/>
          <w:lang w:val="en" w:bidi="th-TH"/>
        </w:rPr>
        <w:t>Educational Research</w:t>
      </w:r>
      <w:r>
        <w:rPr>
          <w:rFonts w:ascii="Times New Roman" w:eastAsia="Times New Roman" w:hAnsi="Times New Roman" w:cs="Times New Roman" w:hint="eastAsia"/>
          <w:color w:val="000000"/>
          <w:lang w:val="en" w:bidi="th-TH"/>
        </w:rPr>
        <w:t>, (1), 57–61</w:t>
      </w:r>
      <w:r w:rsidR="001D74E2">
        <w:rPr>
          <w:rFonts w:hint="eastAsia"/>
          <w:color w:val="000000"/>
          <w:lang w:val="en" w:bidi="th-TH"/>
        </w:rPr>
        <w:t>,</w:t>
      </w:r>
      <w:r>
        <w:rPr>
          <w:rFonts w:ascii="Times New Roman" w:eastAsia="Times New Roman" w:hAnsi="Times New Roman" w:cs="Times New Roman" w:hint="eastAsia"/>
          <w:color w:val="000000"/>
          <w:lang w:val="en" w:bidi="th-TH"/>
        </w:rPr>
        <w:t>87.</w:t>
      </w:r>
    </w:p>
    <w:p w14:paraId="3D6EA355" w14:textId="77777777" w:rsidR="005B2B67" w:rsidRDefault="00000000" w:rsidP="001D74E2">
      <w:pPr>
        <w:tabs>
          <w:tab w:val="right" w:pos="8289"/>
        </w:tabs>
        <w:ind w:left="567" w:hanging="567"/>
        <w:jc w:val="thaiDistribute"/>
        <w:rPr>
          <w:rFonts w:ascii="Times New Roman" w:eastAsia="Times New Roman" w:hAnsi="Times New Roman" w:cs="Times New Roman"/>
          <w:color w:val="000000"/>
          <w:lang w:val="en" w:bidi="th-TH"/>
        </w:rPr>
      </w:pPr>
      <w:r>
        <w:rPr>
          <w:rFonts w:ascii="Times New Roman" w:eastAsia="Times New Roman" w:hAnsi="Times New Roman" w:cs="Times New Roman" w:hint="eastAsia"/>
          <w:color w:val="000000"/>
          <w:lang w:val="en" w:bidi="th-TH"/>
        </w:rPr>
        <w:t xml:space="preserve">Zhu, D. P. (2010). Construction of a competency characteristic evaluation index system for college physical education teachers. </w:t>
      </w:r>
      <w:r>
        <w:rPr>
          <w:rFonts w:ascii="Times New Roman" w:eastAsia="Times New Roman" w:hAnsi="Times New Roman" w:cs="Times New Roman" w:hint="eastAsia"/>
          <w:i/>
          <w:iCs/>
          <w:color w:val="000000"/>
          <w:lang w:val="en" w:bidi="th-TH"/>
        </w:rPr>
        <w:t>Journal of Physical Education</w:t>
      </w:r>
      <w:r>
        <w:rPr>
          <w:rFonts w:ascii="Times New Roman" w:eastAsia="Times New Roman" w:hAnsi="Times New Roman" w:cs="Times New Roman" w:hint="eastAsia"/>
          <w:color w:val="000000"/>
          <w:lang w:val="en" w:bidi="th-TH"/>
        </w:rPr>
        <w:t>, 17(11), 63–67.</w:t>
      </w:r>
    </w:p>
    <w:sectPr w:rsidR="005B2B67">
      <w:headerReference w:type="default" r:id="rId13"/>
      <w:footerReference w:type="default" r:id="rId14"/>
      <w:headerReference w:type="first" r:id="rId15"/>
      <w:footerReference w:type="first" r:id="rId16"/>
      <w:pgSz w:w="11910" w:h="16840"/>
      <w:pgMar w:top="1152" w:right="1282" w:bottom="720" w:left="1440" w:header="72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1AE51" w14:textId="77777777" w:rsidR="005E7BB5" w:rsidRDefault="005E7BB5">
      <w:r>
        <w:separator/>
      </w:r>
    </w:p>
  </w:endnote>
  <w:endnote w:type="continuationSeparator" w:id="0">
    <w:p w14:paraId="6A55EDD8" w14:textId="77777777" w:rsidR="005E7BB5" w:rsidRDefault="005E7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BFE4CDA-D1A9-1842-945C-4A95307065DB}"/>
    <w:embedBold r:id="rId2" w:fontKey="{2C962EF5-87EC-C245-8329-E090737B1D0D}"/>
    <w:embedItalic r:id="rId3" w:fontKey="{91579F57-633A-0F43-A655-FAA04FCA2F22}"/>
  </w:font>
  <w:font w:name="SimSun">
    <w:altName w:val="宋体"/>
    <w:panose1 w:val="02010600030101010101"/>
    <w:charset w:val="86"/>
    <w:family w:val="auto"/>
    <w:pitch w:val="variable"/>
    <w:sig w:usb0="00000203" w:usb1="288F0000" w:usb2="00000016" w:usb3="00000000" w:csb0="00040001" w:csb1="00000000"/>
    <w:embedRegular r:id="rId4" w:subsetted="1" w:fontKey="{92AEA7A0-F422-3742-94DD-79D3471531DD}"/>
  </w:font>
  <w:font w:name="Arial">
    <w:panose1 w:val="020B0604020202020204"/>
    <w:charset w:val="00"/>
    <w:family w:val="swiss"/>
    <w:pitch w:val="variable"/>
    <w:sig w:usb0="E0002EFF" w:usb1="C000785B" w:usb2="00000009" w:usb3="00000000" w:csb0="000001FF" w:csb1="00000000"/>
    <w:embedRegular r:id="rId5" w:fontKey="{857648FB-335B-5C45-93B9-C42A272531C3}"/>
    <w:embedBold r:id="rId6" w:fontKey="{7FB78637-FE13-CA49-BC5E-184ECA058023}"/>
  </w:font>
  <w:font w:name="Saturday Sans Regular">
    <w:altName w:val="Microsoft YaHei"/>
    <w:panose1 w:val="020B0604020202020204"/>
    <w:charset w:val="86"/>
    <w:family w:val="auto"/>
    <w:pitch w:val="default"/>
    <w:sig w:usb0="00000001" w:usb1="080E0000" w:usb2="00000000" w:usb3="00000000" w:csb0="00040000" w:csb1="00000000"/>
  </w:font>
  <w:font w:name="Trebuchet MS">
    <w:panose1 w:val="020B0603020202020204"/>
    <w:charset w:val="00"/>
    <w:family w:val="swiss"/>
    <w:pitch w:val="variable"/>
    <w:sig w:usb0="00000287" w:usb1="00000000" w:usb2="00000000" w:usb3="00000000" w:csb0="0000009F" w:csb1="00000000"/>
    <w:embedRegular r:id="rId7" w:fontKey="{60B22B21-B5D0-2B46-8A4B-D2D3976134F6}"/>
    <w:embedBold r:id="rId8" w:fontKey="{605C2326-B23C-3E42-8043-51DEF0E8CB11}"/>
  </w:font>
  <w:font w:name="Cambria">
    <w:panose1 w:val="02040503050406030204"/>
    <w:charset w:val="00"/>
    <w:family w:val="roman"/>
    <w:pitch w:val="variable"/>
    <w:sig w:usb0="E00002FF" w:usb1="400004FF" w:usb2="00000000" w:usb3="00000000" w:csb0="0000019F" w:csb1="00000000"/>
    <w:embedRegular r:id="rId9" w:fontKey="{15EA91FD-6B2F-AE4E-8F74-3EA44CD7F416}"/>
  </w:font>
  <w:font w:name="SimHei">
    <w:altName w:val="黑体"/>
    <w:panose1 w:val="02010609060101010101"/>
    <w:charset w:val="86"/>
    <w:family w:val="modern"/>
    <w:pitch w:val="fixed"/>
    <w:sig w:usb0="800002BF" w:usb1="38CF7CFA" w:usb2="00000016" w:usb3="00000000" w:csb0="00040001" w:csb1="00000000"/>
  </w:font>
  <w:font w:name="TH Sarabun New">
    <w:altName w:val="Browallia New"/>
    <w:panose1 w:val="020B0604020202020204"/>
    <w:charset w:val="00"/>
    <w:family w:val="swiss"/>
    <w:pitch w:val="variable"/>
    <w:sig w:usb0="A100006F" w:usb1="5000205A" w:usb2="00000000" w:usb3="00000000" w:csb0="00010183" w:csb1="00000000"/>
    <w:embedRegular r:id="rId10" w:fontKey="{CE68AAE0-CF8E-4D41-A1B7-8E9D80FD0FD1}"/>
    <w:embedBold r:id="rId11" w:fontKey="{4964A334-FD27-2D42-B0CB-BEFC7F97EF36}"/>
  </w:font>
  <w:font w:name="方正楷体简体">
    <w:altName w:val="Microsoft YaHei"/>
    <w:panose1 w:val="020B0604020202020204"/>
    <w:charset w:val="86"/>
    <w:family w:val="auto"/>
    <w:pitch w:val="default"/>
    <w:sig w:usb0="A00002BF" w:usb1="184F6CFA" w:usb2="00000012" w:usb3="00000000" w:csb0="00040001" w:csb1="00000000"/>
  </w:font>
  <w:font w:name="Leelawadee UI">
    <w:panose1 w:val="020B0502040204020203"/>
    <w:charset w:val="DE"/>
    <w:family w:val="swiss"/>
    <w:pitch w:val="variable"/>
    <w:sig w:usb0="83000003" w:usb1="00000000" w:usb2="00010000" w:usb3="00000000" w:csb0="00010101" w:csb1="00000000"/>
    <w:embedRegular r:id="rId12" w:fontKey="{3E1B22A1-A092-504F-9BE2-752AAC7957C5}"/>
  </w:font>
  <w:font w:name="Segoe Print">
    <w:panose1 w:val="02000800000000000000"/>
    <w:charset w:val="00"/>
    <w:family w:val="auto"/>
    <w:pitch w:val="variable"/>
    <w:sig w:usb0="0000028F" w:usb1="00000000" w:usb2="00000000" w:usb3="00000000" w:csb0="0000009F" w:csb1="00000000"/>
    <w:embedRegular r:id="rId13" w:fontKey="{7D20BC6D-DE43-B448-8659-E15ECD9A5E13}"/>
    <w:embedBold r:id="rId14" w:fontKey="{93A9C065-00AB-E44F-95B5-1A037E38B162}"/>
  </w:font>
  <w:font w:name="Segoe UI">
    <w:panose1 w:val="020B0502040204020203"/>
    <w:charset w:val="00"/>
    <w:family w:val="swiss"/>
    <w:pitch w:val="variable"/>
    <w:sig w:usb0="E4002EFF" w:usb1="C000E47F" w:usb2="00000009" w:usb3="00000000" w:csb0="000001FF" w:csb1="00000000"/>
    <w:embedRegular r:id="rId15" w:fontKey="{BB716F0F-844F-9146-9C24-23DF21D586E8}"/>
    <w:embedBold r:id="rId16" w:fontKey="{34D6C8D1-9114-BC45-94D6-83C3A5698EB4}"/>
  </w:font>
  <w:font w:name="Angsana New">
    <w:panose1 w:val="02020603050405020304"/>
    <w:charset w:val="DE"/>
    <w:family w:val="roman"/>
    <w:pitch w:val="variable"/>
    <w:sig w:usb0="81000003" w:usb1="00000000" w:usb2="00000000" w:usb3="00000000" w:csb0="00010001" w:csb1="00000000"/>
    <w:embedRegular r:id="rId17" w:fontKey="{4D17261D-30BD-7B4D-B03B-B424E8EAC0D9}"/>
  </w:font>
  <w:font w:name="Calibri">
    <w:panose1 w:val="020F0502020204030204"/>
    <w:charset w:val="00"/>
    <w:family w:val="swiss"/>
    <w:pitch w:val="variable"/>
    <w:sig w:usb0="E0002AFF" w:usb1="C000247B" w:usb2="00000009" w:usb3="00000000" w:csb0="000001FF" w:csb1="00000000"/>
    <w:embedRegular r:id="rId18" w:fontKey="{66BC4137-F77D-9640-AD76-7B6AF655C923}"/>
  </w:font>
  <w:font w:name="Cordia New">
    <w:panose1 w:val="020B0304020202020204"/>
    <w:charset w:val="00"/>
    <w:family w:val="swiss"/>
    <w:pitch w:val="variable"/>
    <w:sig w:usb0="81000003" w:usb1="00000000" w:usb2="00000000" w:usb3="00000000" w:csb0="00010001" w:csb1="00000000"/>
    <w:embedRegular r:id="rId19" w:fontKey="{0C7F86E5-797B-3C46-B506-544DE74048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95F56" w14:textId="1FAD90BA" w:rsidR="005B2B67" w:rsidRDefault="005B2B67">
    <w:pPr>
      <w:pStyle w:val="Footer"/>
      <w:jc w:val="center"/>
      <w:rPr>
        <w:rFonts w:ascii="Segoe Print" w:hAnsi="Segoe Print" w:cs="Segoe Print"/>
        <w:sz w:val="32"/>
        <w:szCs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483229"/>
    </w:sdtPr>
    <w:sdtContent>
      <w:p w14:paraId="7BBF21B2" w14:textId="77777777" w:rsidR="005B2B67" w:rsidRDefault="00000000">
        <w:pPr>
          <w:pStyle w:val="Footer"/>
          <w:jc w:val="center"/>
        </w:pPr>
        <w:r>
          <w:fldChar w:fldCharType="begin"/>
        </w:r>
        <w:r>
          <w:instrText xml:space="preserve"> PAGE   \* MERGEFORMAT </w:instrText>
        </w:r>
        <w:r>
          <w:fldChar w:fldCharType="separate"/>
        </w:r>
        <w:r>
          <w:t>2</w:t>
        </w:r>
        <w:r>
          <w:fldChar w:fldCharType="end"/>
        </w:r>
      </w:p>
    </w:sdtContent>
  </w:sdt>
  <w:p w14:paraId="144129CB" w14:textId="77777777" w:rsidR="005B2B67" w:rsidRDefault="005B2B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4EF1E" w14:textId="5B425FD8" w:rsidR="005B2B67" w:rsidRDefault="005B2B67" w:rsidP="001D74E2">
    <w:pPr>
      <w:pStyle w:val="Footer"/>
      <w:rPr>
        <w:rFonts w:ascii="Segoe Print" w:hAnsi="Segoe Print" w:cs="Segoe Print"/>
        <w:b/>
        <w:bCs/>
        <w:sz w:val="32"/>
        <w:szCs w:val="3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4239B" w14:textId="5054514D" w:rsidR="005B2B67" w:rsidRDefault="005B2B67">
    <w:pPr>
      <w:pStyle w:val="Footer"/>
      <w:jc w:val="center"/>
      <w:rPr>
        <w:rFonts w:ascii="Segoe Print" w:hAnsi="Segoe Print" w:cs="Segoe Print"/>
        <w:b/>
        <w:bCs/>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92A5D" w14:textId="77777777" w:rsidR="005E7BB5" w:rsidRDefault="005E7BB5">
      <w:r>
        <w:separator/>
      </w:r>
    </w:p>
  </w:footnote>
  <w:footnote w:type="continuationSeparator" w:id="0">
    <w:p w14:paraId="213FCCC1" w14:textId="77777777" w:rsidR="005E7BB5" w:rsidRDefault="005E7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F544C" w14:textId="77777777" w:rsidR="005B2B67" w:rsidRDefault="005B2B67">
    <w:pPr>
      <w:pStyle w:val="Header"/>
      <w:pBdr>
        <w:bottom w:val="none" w:sz="0" w:space="0" w:color="auto"/>
      </w:pBd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355FA" w14:textId="77777777" w:rsidR="005B2B67" w:rsidRDefault="005B2B67">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00720" w14:textId="77777777" w:rsidR="005B2B67" w:rsidRDefault="005B2B67">
    <w:pPr>
      <w:pStyle w:val="Header"/>
      <w:pBdr>
        <w:bottom w:val="none" w:sz="0" w:space="0" w:color="auto"/>
      </w:pBd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68D7F" w14:textId="77777777" w:rsidR="005B2B67" w:rsidRDefault="005B2B6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C358E48"/>
    <w:multiLevelType w:val="singleLevel"/>
    <w:tmpl w:val="CC358E48"/>
    <w:lvl w:ilvl="0">
      <w:start w:val="1"/>
      <w:numFmt w:val="decimal"/>
      <w:suff w:val="space"/>
      <w:lvlText w:val="%1."/>
      <w:lvlJc w:val="left"/>
      <w:pPr>
        <w:ind w:left="425" w:hanging="425"/>
      </w:pPr>
      <w:rPr>
        <w:rFonts w:hint="default"/>
      </w:rPr>
    </w:lvl>
  </w:abstractNum>
  <w:abstractNum w:abstractNumId="1" w15:restartNumberingAfterBreak="0">
    <w:nsid w:val="E363E9CF"/>
    <w:multiLevelType w:val="singleLevel"/>
    <w:tmpl w:val="E363E9CF"/>
    <w:lvl w:ilvl="0">
      <w:start w:val="1"/>
      <w:numFmt w:val="decimal"/>
      <w:suff w:val="space"/>
      <w:lvlText w:val="%1."/>
      <w:lvlJc w:val="left"/>
      <w:pPr>
        <w:ind w:left="425" w:hanging="425"/>
      </w:pPr>
      <w:rPr>
        <w:rFonts w:hint="default"/>
      </w:rPr>
    </w:lvl>
  </w:abstractNum>
  <w:abstractNum w:abstractNumId="2" w15:restartNumberingAfterBreak="0">
    <w:nsid w:val="3231173C"/>
    <w:multiLevelType w:val="singleLevel"/>
    <w:tmpl w:val="3231173C"/>
    <w:lvl w:ilvl="0">
      <w:start w:val="1"/>
      <w:numFmt w:val="decimal"/>
      <w:suff w:val="space"/>
      <w:lvlText w:val="%1."/>
      <w:lvlJc w:val="left"/>
      <w:pPr>
        <w:ind w:left="425" w:hanging="425"/>
      </w:pPr>
      <w:rPr>
        <w:rFonts w:hint="default"/>
      </w:rPr>
    </w:lvl>
  </w:abstractNum>
  <w:num w:numId="1" w16cid:durableId="1175068785">
    <w:abstractNumId w:val="2"/>
  </w:num>
  <w:num w:numId="2" w16cid:durableId="1286697784">
    <w:abstractNumId w:val="1"/>
  </w:num>
  <w:num w:numId="3" w16cid:durableId="1264074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embedTrueTypeFonts/>
  <w:proofState w:spelling="clean" w:grammar="clean"/>
  <w:defaultTabStop w:val="720"/>
  <w:autoHyphenation/>
  <w:drawingGridHorizontalSpacing w:val="110"/>
  <w:noPunctuationKerning/>
  <w:characterSpacingControl w:val="doNotCompress"/>
  <w:footnotePr>
    <w:footnote w:id="-1"/>
    <w:footnote w:id="0"/>
  </w:footnotePr>
  <w:endnotePr>
    <w:endnote w:id="-1"/>
    <w:endnote w:id="0"/>
  </w:endnotePr>
  <w:compat>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2D7"/>
    <w:rsid w:val="000105FF"/>
    <w:rsid w:val="00024C33"/>
    <w:rsid w:val="000372F1"/>
    <w:rsid w:val="00042212"/>
    <w:rsid w:val="000548F1"/>
    <w:rsid w:val="00054B02"/>
    <w:rsid w:val="000601FF"/>
    <w:rsid w:val="00060A98"/>
    <w:rsid w:val="00066DDD"/>
    <w:rsid w:val="00075893"/>
    <w:rsid w:val="0008157B"/>
    <w:rsid w:val="00081C5B"/>
    <w:rsid w:val="00083F44"/>
    <w:rsid w:val="0008407A"/>
    <w:rsid w:val="00084767"/>
    <w:rsid w:val="00091229"/>
    <w:rsid w:val="000D6692"/>
    <w:rsid w:val="000F4E0B"/>
    <w:rsid w:val="00114DEB"/>
    <w:rsid w:val="00134109"/>
    <w:rsid w:val="001355C0"/>
    <w:rsid w:val="001579A5"/>
    <w:rsid w:val="00157DF5"/>
    <w:rsid w:val="001649B7"/>
    <w:rsid w:val="00174804"/>
    <w:rsid w:val="001851FA"/>
    <w:rsid w:val="00187501"/>
    <w:rsid w:val="001B2A61"/>
    <w:rsid w:val="001D74E2"/>
    <w:rsid w:val="001E6A23"/>
    <w:rsid w:val="00210119"/>
    <w:rsid w:val="00234466"/>
    <w:rsid w:val="002415FF"/>
    <w:rsid w:val="00241A85"/>
    <w:rsid w:val="00243F56"/>
    <w:rsid w:val="002468F6"/>
    <w:rsid w:val="002575C2"/>
    <w:rsid w:val="00261BD6"/>
    <w:rsid w:val="00272F1A"/>
    <w:rsid w:val="002870BF"/>
    <w:rsid w:val="00292EBD"/>
    <w:rsid w:val="00294106"/>
    <w:rsid w:val="002957AB"/>
    <w:rsid w:val="002A727D"/>
    <w:rsid w:val="002C4FB4"/>
    <w:rsid w:val="002D5CDC"/>
    <w:rsid w:val="002E5725"/>
    <w:rsid w:val="003118F7"/>
    <w:rsid w:val="00317353"/>
    <w:rsid w:val="003241BB"/>
    <w:rsid w:val="00352CC7"/>
    <w:rsid w:val="00372592"/>
    <w:rsid w:val="00372AB2"/>
    <w:rsid w:val="00373625"/>
    <w:rsid w:val="00382A25"/>
    <w:rsid w:val="003842D7"/>
    <w:rsid w:val="00385FF5"/>
    <w:rsid w:val="00396613"/>
    <w:rsid w:val="003A404A"/>
    <w:rsid w:val="003A4789"/>
    <w:rsid w:val="003B6F0A"/>
    <w:rsid w:val="003C782B"/>
    <w:rsid w:val="003D13EE"/>
    <w:rsid w:val="003D7A2E"/>
    <w:rsid w:val="00401FBB"/>
    <w:rsid w:val="00412E8F"/>
    <w:rsid w:val="0041534D"/>
    <w:rsid w:val="004335F0"/>
    <w:rsid w:val="00436DBF"/>
    <w:rsid w:val="00436FD5"/>
    <w:rsid w:val="0043711B"/>
    <w:rsid w:val="00437152"/>
    <w:rsid w:val="00447DA4"/>
    <w:rsid w:val="00485BD6"/>
    <w:rsid w:val="004A4619"/>
    <w:rsid w:val="004A4FCB"/>
    <w:rsid w:val="004C04F1"/>
    <w:rsid w:val="004D47D7"/>
    <w:rsid w:val="004D7B38"/>
    <w:rsid w:val="004E24FE"/>
    <w:rsid w:val="004E6600"/>
    <w:rsid w:val="004F7AE8"/>
    <w:rsid w:val="0050478B"/>
    <w:rsid w:val="00504C2F"/>
    <w:rsid w:val="00515724"/>
    <w:rsid w:val="005248DE"/>
    <w:rsid w:val="00543022"/>
    <w:rsid w:val="00547AED"/>
    <w:rsid w:val="005545AD"/>
    <w:rsid w:val="0055665D"/>
    <w:rsid w:val="00563024"/>
    <w:rsid w:val="00563952"/>
    <w:rsid w:val="0059407E"/>
    <w:rsid w:val="005A6110"/>
    <w:rsid w:val="005B2B67"/>
    <w:rsid w:val="005C1C4B"/>
    <w:rsid w:val="005C27A8"/>
    <w:rsid w:val="005E2B38"/>
    <w:rsid w:val="005E5725"/>
    <w:rsid w:val="005E6896"/>
    <w:rsid w:val="005E7BB5"/>
    <w:rsid w:val="005F4A9A"/>
    <w:rsid w:val="005F6C33"/>
    <w:rsid w:val="00605E0D"/>
    <w:rsid w:val="00617DD1"/>
    <w:rsid w:val="006344FF"/>
    <w:rsid w:val="00644D14"/>
    <w:rsid w:val="00650160"/>
    <w:rsid w:val="00654634"/>
    <w:rsid w:val="00667FD8"/>
    <w:rsid w:val="006845B4"/>
    <w:rsid w:val="00687911"/>
    <w:rsid w:val="006A4823"/>
    <w:rsid w:val="006C21FC"/>
    <w:rsid w:val="006C4CC7"/>
    <w:rsid w:val="006C558C"/>
    <w:rsid w:val="006D022B"/>
    <w:rsid w:val="006D437A"/>
    <w:rsid w:val="006D5105"/>
    <w:rsid w:val="006D7118"/>
    <w:rsid w:val="006F6D98"/>
    <w:rsid w:val="00724618"/>
    <w:rsid w:val="00730BAE"/>
    <w:rsid w:val="0073674E"/>
    <w:rsid w:val="00741F58"/>
    <w:rsid w:val="007459F1"/>
    <w:rsid w:val="00752EBF"/>
    <w:rsid w:val="00767817"/>
    <w:rsid w:val="007702BB"/>
    <w:rsid w:val="00772BFA"/>
    <w:rsid w:val="00776EEF"/>
    <w:rsid w:val="007A7589"/>
    <w:rsid w:val="007B6E8F"/>
    <w:rsid w:val="007B7784"/>
    <w:rsid w:val="007D50F2"/>
    <w:rsid w:val="007D737B"/>
    <w:rsid w:val="007D7636"/>
    <w:rsid w:val="00801927"/>
    <w:rsid w:val="00814C79"/>
    <w:rsid w:val="00834DAD"/>
    <w:rsid w:val="0084170C"/>
    <w:rsid w:val="00843014"/>
    <w:rsid w:val="008439A9"/>
    <w:rsid w:val="00876705"/>
    <w:rsid w:val="008905DC"/>
    <w:rsid w:val="008E5397"/>
    <w:rsid w:val="008E5FE8"/>
    <w:rsid w:val="009441D2"/>
    <w:rsid w:val="009452A8"/>
    <w:rsid w:val="00952B10"/>
    <w:rsid w:val="00982E04"/>
    <w:rsid w:val="009867E8"/>
    <w:rsid w:val="00992A28"/>
    <w:rsid w:val="009A4E1E"/>
    <w:rsid w:val="009C3A75"/>
    <w:rsid w:val="009C7C47"/>
    <w:rsid w:val="009E0C46"/>
    <w:rsid w:val="009E276E"/>
    <w:rsid w:val="009E33E2"/>
    <w:rsid w:val="009F6BB6"/>
    <w:rsid w:val="00A00DA6"/>
    <w:rsid w:val="00A0329D"/>
    <w:rsid w:val="00A046A6"/>
    <w:rsid w:val="00A05A60"/>
    <w:rsid w:val="00A169DD"/>
    <w:rsid w:val="00A20A3E"/>
    <w:rsid w:val="00A22783"/>
    <w:rsid w:val="00A279A6"/>
    <w:rsid w:val="00A57EA5"/>
    <w:rsid w:val="00A64968"/>
    <w:rsid w:val="00A7019E"/>
    <w:rsid w:val="00A76F90"/>
    <w:rsid w:val="00A85360"/>
    <w:rsid w:val="00AC675A"/>
    <w:rsid w:val="00AF0827"/>
    <w:rsid w:val="00B05357"/>
    <w:rsid w:val="00B155A8"/>
    <w:rsid w:val="00B16600"/>
    <w:rsid w:val="00B22CAA"/>
    <w:rsid w:val="00B325A1"/>
    <w:rsid w:val="00B534FA"/>
    <w:rsid w:val="00B86373"/>
    <w:rsid w:val="00B909E8"/>
    <w:rsid w:val="00BB0605"/>
    <w:rsid w:val="00BB6F60"/>
    <w:rsid w:val="00BC2621"/>
    <w:rsid w:val="00BC5C55"/>
    <w:rsid w:val="00BC6938"/>
    <w:rsid w:val="00BE4489"/>
    <w:rsid w:val="00C1501F"/>
    <w:rsid w:val="00C30E2B"/>
    <w:rsid w:val="00C311E3"/>
    <w:rsid w:val="00C31EEA"/>
    <w:rsid w:val="00C40928"/>
    <w:rsid w:val="00C61F0B"/>
    <w:rsid w:val="00C75F7B"/>
    <w:rsid w:val="00C85D96"/>
    <w:rsid w:val="00CB2B69"/>
    <w:rsid w:val="00CB2D97"/>
    <w:rsid w:val="00CC1E50"/>
    <w:rsid w:val="00CC2575"/>
    <w:rsid w:val="00CD6F15"/>
    <w:rsid w:val="00CE55ED"/>
    <w:rsid w:val="00D03A02"/>
    <w:rsid w:val="00D0593E"/>
    <w:rsid w:val="00D26A14"/>
    <w:rsid w:val="00D34DDD"/>
    <w:rsid w:val="00D36DDA"/>
    <w:rsid w:val="00D42EE6"/>
    <w:rsid w:val="00D542FB"/>
    <w:rsid w:val="00D5740F"/>
    <w:rsid w:val="00D939B8"/>
    <w:rsid w:val="00D93C5D"/>
    <w:rsid w:val="00D93F25"/>
    <w:rsid w:val="00D97A00"/>
    <w:rsid w:val="00DA04B0"/>
    <w:rsid w:val="00DB2E47"/>
    <w:rsid w:val="00DC2D5C"/>
    <w:rsid w:val="00DC48D7"/>
    <w:rsid w:val="00DC4993"/>
    <w:rsid w:val="00DD324B"/>
    <w:rsid w:val="00DF075A"/>
    <w:rsid w:val="00DF198D"/>
    <w:rsid w:val="00E01182"/>
    <w:rsid w:val="00E22D87"/>
    <w:rsid w:val="00E40AEE"/>
    <w:rsid w:val="00E4532B"/>
    <w:rsid w:val="00E86A19"/>
    <w:rsid w:val="00EA396F"/>
    <w:rsid w:val="00EA50A1"/>
    <w:rsid w:val="00EA6807"/>
    <w:rsid w:val="00EA7248"/>
    <w:rsid w:val="00EB4998"/>
    <w:rsid w:val="00ED1F02"/>
    <w:rsid w:val="00EE2F1C"/>
    <w:rsid w:val="00EE753E"/>
    <w:rsid w:val="00EF3E50"/>
    <w:rsid w:val="00F10C44"/>
    <w:rsid w:val="00F14A2A"/>
    <w:rsid w:val="00F14E2D"/>
    <w:rsid w:val="00F26787"/>
    <w:rsid w:val="00F34C67"/>
    <w:rsid w:val="00F37845"/>
    <w:rsid w:val="00F45B63"/>
    <w:rsid w:val="00F50505"/>
    <w:rsid w:val="00F65C0A"/>
    <w:rsid w:val="00F66866"/>
    <w:rsid w:val="00F706D2"/>
    <w:rsid w:val="00F72116"/>
    <w:rsid w:val="00F9764B"/>
    <w:rsid w:val="00FA2A64"/>
    <w:rsid w:val="00FA7F3A"/>
    <w:rsid w:val="00FB6727"/>
    <w:rsid w:val="00FB722D"/>
    <w:rsid w:val="00FC2159"/>
    <w:rsid w:val="00FF112D"/>
    <w:rsid w:val="35A81627"/>
    <w:rsid w:val="35C134DA"/>
    <w:rsid w:val="58025F20"/>
    <w:rsid w:val="5C4138C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A5641"/>
  <w15:docId w15:val="{B49D1104-3680-CA41-9862-060115EE4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TH" w:eastAsia="zh-CN" w:bidi="th-TH"/>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9"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SimSun" w:hAnsi="SimSun" w:cs="SimSun"/>
      <w:sz w:val="24"/>
      <w:szCs w:val="24"/>
      <w:lang w:val="en-US" w:bidi="ar-SA"/>
    </w:rPr>
  </w:style>
  <w:style w:type="paragraph" w:styleId="Heading1">
    <w:name w:val="heading 1"/>
    <w:basedOn w:val="Normal"/>
    <w:uiPriority w:val="1"/>
    <w:qFormat/>
    <w:pPr>
      <w:widowControl w:val="0"/>
      <w:autoSpaceDE w:val="0"/>
      <w:autoSpaceDN w:val="0"/>
      <w:spacing w:line="269" w:lineRule="exact"/>
      <w:ind w:left="220"/>
      <w:jc w:val="both"/>
      <w:outlineLvl w:val="0"/>
    </w:pPr>
    <w:rPr>
      <w:rFonts w:ascii="Arial" w:eastAsia="Arial" w:hAnsi="Arial" w:cs="Arial"/>
      <w:sz w:val="28"/>
      <w:szCs w:val="28"/>
      <w:lang w:eastAsia="en-US"/>
    </w:rPr>
  </w:style>
  <w:style w:type="paragraph" w:styleId="Heading2">
    <w:name w:val="heading 2"/>
    <w:basedOn w:val="Normal"/>
    <w:uiPriority w:val="1"/>
    <w:qFormat/>
    <w:pPr>
      <w:widowControl w:val="0"/>
      <w:autoSpaceDE w:val="0"/>
      <w:autoSpaceDN w:val="0"/>
      <w:spacing w:before="90"/>
      <w:ind w:left="1180"/>
      <w:outlineLvl w:val="1"/>
    </w:pPr>
    <w:rPr>
      <w:rFonts w:ascii="Saturday Sans Regular" w:eastAsia="Saturday Sans Regular" w:hAnsi="Saturday Sans Regular" w:cs="Saturday Sans Regular"/>
      <w:lang w:eastAsia="en-US"/>
    </w:rPr>
  </w:style>
  <w:style w:type="paragraph" w:styleId="Heading3">
    <w:name w:val="heading 3"/>
    <w:basedOn w:val="Normal"/>
    <w:link w:val="Heading3Char"/>
    <w:uiPriority w:val="9"/>
    <w:qFormat/>
    <w:pPr>
      <w:widowControl w:val="0"/>
      <w:autoSpaceDE w:val="0"/>
      <w:autoSpaceDN w:val="0"/>
      <w:ind w:left="580"/>
      <w:outlineLvl w:val="2"/>
    </w:pPr>
    <w:rPr>
      <w:rFonts w:ascii="Trebuchet MS" w:eastAsia="Trebuchet MS" w:hAnsi="Trebuchet MS" w:cs="Trebuchet MS"/>
      <w:b/>
      <w:bCs/>
      <w:sz w:val="23"/>
      <w:szCs w:val="23"/>
      <w:lang w:eastAsia="en-US"/>
    </w:rPr>
  </w:style>
  <w:style w:type="paragraph" w:styleId="Heading4">
    <w:name w:val="heading 4"/>
    <w:next w:val="Normal"/>
    <w:link w:val="Heading4Char"/>
    <w:uiPriority w:val="9"/>
    <w:unhideWhenUsed/>
    <w:qFormat/>
    <w:pPr>
      <w:keepNext/>
      <w:keepLines/>
      <w:spacing w:after="94" w:line="259" w:lineRule="auto"/>
      <w:ind w:left="10" w:right="3" w:hanging="10"/>
      <w:jc w:val="center"/>
      <w:outlineLvl w:val="3"/>
    </w:pPr>
    <w:rPr>
      <w:rFonts w:eastAsia="Times New Roman"/>
      <w:b/>
      <w:color w:val="000000"/>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widowControl w:val="0"/>
      <w:autoSpaceDE w:val="0"/>
      <w:autoSpaceDN w:val="0"/>
    </w:pPr>
    <w:rPr>
      <w:rFonts w:asciiTheme="majorHAnsi" w:eastAsia="SimHei" w:hAnsiTheme="majorHAnsi" w:cs="Times New Roman"/>
      <w:sz w:val="20"/>
      <w:szCs w:val="20"/>
      <w:lang w:eastAsia="en-US"/>
    </w:rPr>
  </w:style>
  <w:style w:type="paragraph" w:styleId="CommentText">
    <w:name w:val="annotation text"/>
    <w:basedOn w:val="Normal"/>
    <w:link w:val="CommentTextChar"/>
    <w:uiPriority w:val="99"/>
    <w:semiHidden/>
    <w:unhideWhenUsed/>
    <w:qFormat/>
    <w:pPr>
      <w:widowControl w:val="0"/>
      <w:autoSpaceDE w:val="0"/>
      <w:autoSpaceDN w:val="0"/>
    </w:pPr>
    <w:rPr>
      <w:rFonts w:ascii="Arial" w:eastAsia="Arial" w:hAnsi="Arial" w:cs="Arial"/>
      <w:sz w:val="20"/>
      <w:szCs w:val="20"/>
      <w:lang w:eastAsia="en-US"/>
    </w:rPr>
  </w:style>
  <w:style w:type="paragraph" w:styleId="BodyText">
    <w:name w:val="Body Text"/>
    <w:basedOn w:val="Normal"/>
    <w:uiPriority w:val="1"/>
    <w:qFormat/>
    <w:pPr>
      <w:widowControl w:val="0"/>
      <w:autoSpaceDE w:val="0"/>
      <w:autoSpaceDN w:val="0"/>
      <w:ind w:left="220"/>
      <w:jc w:val="both"/>
    </w:pPr>
    <w:rPr>
      <w:rFonts w:ascii="Arial" w:eastAsia="Arial" w:hAnsi="Arial" w:cs="Arial"/>
      <w:sz w:val="21"/>
      <w:szCs w:val="21"/>
      <w:lang w:eastAsia="en-US"/>
    </w:rPr>
  </w:style>
  <w:style w:type="paragraph" w:styleId="EndnoteText">
    <w:name w:val="endnote text"/>
    <w:basedOn w:val="Normal"/>
    <w:link w:val="EndnoteTextChar"/>
    <w:uiPriority w:val="99"/>
    <w:semiHidden/>
    <w:unhideWhenUsed/>
    <w:qFormat/>
    <w:pPr>
      <w:snapToGrid w:val="0"/>
    </w:pPr>
  </w:style>
  <w:style w:type="paragraph" w:styleId="BalloonText">
    <w:name w:val="Balloon Text"/>
    <w:basedOn w:val="Normal"/>
    <w:link w:val="BalloonTextChar"/>
    <w:uiPriority w:val="99"/>
    <w:semiHidden/>
    <w:unhideWhenUsed/>
    <w:qFormat/>
    <w:pPr>
      <w:widowControl w:val="0"/>
      <w:autoSpaceDE w:val="0"/>
      <w:autoSpaceDN w:val="0"/>
    </w:pPr>
    <w:rPr>
      <w:rFonts w:hAnsi="Arial" w:cs="Arial"/>
      <w:sz w:val="18"/>
      <w:szCs w:val="18"/>
      <w:lang w:eastAsia="en-US"/>
    </w:rPr>
  </w:style>
  <w:style w:type="paragraph" w:styleId="Footer">
    <w:name w:val="footer"/>
    <w:basedOn w:val="Normal"/>
    <w:link w:val="FooterChar"/>
    <w:uiPriority w:val="99"/>
    <w:unhideWhenUsed/>
    <w:qFormat/>
    <w:pPr>
      <w:widowControl w:val="0"/>
      <w:tabs>
        <w:tab w:val="center" w:pos="4153"/>
        <w:tab w:val="right" w:pos="8306"/>
      </w:tabs>
      <w:autoSpaceDE w:val="0"/>
      <w:autoSpaceDN w:val="0"/>
      <w:snapToGrid w:val="0"/>
    </w:pPr>
    <w:rPr>
      <w:rFonts w:ascii="Arial" w:eastAsia="Arial" w:hAnsi="Arial" w:cs="Arial"/>
      <w:sz w:val="18"/>
      <w:szCs w:val="18"/>
      <w:lang w:eastAsia="en-US"/>
    </w:rPr>
  </w:style>
  <w:style w:type="paragraph" w:styleId="Header">
    <w:name w:val="header"/>
    <w:basedOn w:val="Normal"/>
    <w:link w:val="HeaderChar"/>
    <w:uiPriority w:val="99"/>
    <w:unhideWhenUsed/>
    <w:qFormat/>
    <w:pPr>
      <w:widowControl w:val="0"/>
      <w:pBdr>
        <w:bottom w:val="single" w:sz="6" w:space="1" w:color="auto"/>
      </w:pBdr>
      <w:tabs>
        <w:tab w:val="center" w:pos="4153"/>
        <w:tab w:val="right" w:pos="8306"/>
      </w:tabs>
      <w:autoSpaceDE w:val="0"/>
      <w:autoSpaceDN w:val="0"/>
      <w:snapToGrid w:val="0"/>
      <w:jc w:val="center"/>
    </w:pPr>
    <w:rPr>
      <w:rFonts w:ascii="Arial" w:eastAsia="Arial" w:hAnsi="Arial" w:cs="Arial"/>
      <w:sz w:val="18"/>
      <w:szCs w:val="18"/>
      <w:lang w:eastAsia="en-US"/>
    </w:rPr>
  </w:style>
  <w:style w:type="paragraph" w:styleId="FootnoteText">
    <w:name w:val="footnote text"/>
    <w:basedOn w:val="Normal"/>
    <w:link w:val="FootnoteTextChar"/>
    <w:uiPriority w:val="99"/>
    <w:semiHidden/>
    <w:unhideWhenUsed/>
    <w:qFormat/>
    <w:pPr>
      <w:widowControl w:val="0"/>
      <w:autoSpaceDE w:val="0"/>
      <w:autoSpaceDN w:val="0"/>
      <w:snapToGrid w:val="0"/>
    </w:pPr>
    <w:rPr>
      <w:rFonts w:ascii="Arial" w:eastAsia="Arial" w:hAnsi="Arial" w:cs="Arial"/>
      <w:sz w:val="18"/>
      <w:szCs w:val="18"/>
      <w:lang w:eastAsia="en-US"/>
    </w:r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imes New Roman" w:eastAsia="Times New Roman" w:hAnsi="Times New Roman" w:cs="Times New Roman"/>
      <w:sz w:val="28"/>
      <w:szCs w:val="28"/>
      <w:lang w:bidi="th-TH"/>
    </w:rPr>
  </w:style>
  <w:style w:type="paragraph" w:styleId="NormalWeb">
    <w:name w:val="Normal (Web)"/>
    <w:basedOn w:val="Normal"/>
    <w:uiPriority w:val="99"/>
    <w:semiHidden/>
    <w:unhideWhenUsed/>
    <w:qFormat/>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qFormat/>
    <w:rPr>
      <w:b/>
      <w:bCs/>
    </w:rPr>
  </w:style>
  <w:style w:type="table" w:styleId="LightShading-Accent1">
    <w:name w:val="Light Shading Accent 1"/>
    <w:basedOn w:val="TableNormal"/>
    <w:uiPriority w:val="60"/>
    <w:semiHidden/>
    <w:unhideWhenUsed/>
    <w:qFormat/>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trong">
    <w:name w:val="Strong"/>
    <w:basedOn w:val="DefaultParagraphFont"/>
    <w:uiPriority w:val="22"/>
    <w:qFormat/>
    <w:rPr>
      <w:b/>
      <w:bCs/>
    </w:rPr>
  </w:style>
  <w:style w:type="character" w:styleId="EndnoteReference">
    <w:name w:val="endnote reference"/>
    <w:basedOn w:val="DefaultParagraphFont"/>
    <w:uiPriority w:val="99"/>
    <w:semiHidden/>
    <w:unhideWhenUsed/>
    <w:qFormat/>
    <w:rPr>
      <w:vertAlign w:val="superscript"/>
    </w:rPr>
  </w:style>
  <w:style w:type="character" w:styleId="Emphasis">
    <w:name w:val="Emphasis"/>
    <w:basedOn w:val="DefaultParagraphFont"/>
    <w:uiPriority w:val="20"/>
    <w:qFormat/>
    <w:rPr>
      <w:i/>
    </w:rPr>
  </w:style>
  <w:style w:type="character" w:styleId="Hyperlink">
    <w:name w:val="Hyperlink"/>
    <w:basedOn w:val="DefaultParagraphFont"/>
    <w:uiPriority w:val="99"/>
    <w:unhideWhenUsed/>
    <w:qFormat/>
    <w:rPr>
      <w:color w:val="0000FF" w:themeColor="hyperlink"/>
      <w:u w:val="single"/>
    </w:rPr>
  </w:style>
  <w:style w:type="character" w:styleId="CommentReference">
    <w:name w:val="annotation reference"/>
    <w:basedOn w:val="DefaultParagraphFont"/>
    <w:uiPriority w:val="99"/>
    <w:semiHidden/>
    <w:unhideWhenUsed/>
    <w:qFormat/>
    <w:rPr>
      <w:sz w:val="16"/>
      <w:szCs w:val="18"/>
    </w:rPr>
  </w:style>
  <w:style w:type="character" w:styleId="FootnoteReference">
    <w:name w:val="footnote reference"/>
    <w:basedOn w:val="DefaultParagraphFont"/>
    <w:uiPriority w:val="99"/>
    <w:semiHidden/>
    <w:unhideWhenUsed/>
    <w:qFormat/>
    <w:rPr>
      <w:vertAlign w:val="superscript"/>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widowControl w:val="0"/>
      <w:autoSpaceDE w:val="0"/>
      <w:autoSpaceDN w:val="0"/>
      <w:ind w:left="542" w:hanging="322"/>
      <w:jc w:val="both"/>
    </w:pPr>
    <w:rPr>
      <w:rFonts w:ascii="Arial" w:eastAsia="Arial" w:hAnsi="Arial" w:cs="Arial"/>
      <w:sz w:val="22"/>
      <w:szCs w:val="22"/>
      <w:lang w:eastAsia="en-US"/>
    </w:rPr>
  </w:style>
  <w:style w:type="paragraph" w:customStyle="1" w:styleId="TableParagraph">
    <w:name w:val="Table Paragraph"/>
    <w:basedOn w:val="Normal"/>
    <w:uiPriority w:val="1"/>
    <w:qFormat/>
    <w:pPr>
      <w:widowControl w:val="0"/>
      <w:autoSpaceDE w:val="0"/>
      <w:autoSpaceDN w:val="0"/>
    </w:pPr>
    <w:rPr>
      <w:rFonts w:ascii="Arial" w:eastAsia="Arial" w:hAnsi="Arial" w:cs="Arial"/>
      <w:sz w:val="22"/>
      <w:szCs w:val="22"/>
      <w:lang w:eastAsia="en-US"/>
    </w:rPr>
  </w:style>
  <w:style w:type="character" w:customStyle="1" w:styleId="Heading3Char">
    <w:name w:val="Heading 3 Char"/>
    <w:link w:val="Heading3"/>
    <w:qFormat/>
    <w:rPr>
      <w:rFonts w:ascii="Trebuchet MS" w:eastAsia="Trebuchet MS" w:hAnsi="Trebuchet MS" w:cs="Trebuchet MS"/>
      <w:b/>
      <w:bCs/>
      <w:sz w:val="23"/>
      <w:szCs w:val="23"/>
    </w:rPr>
  </w:style>
  <w:style w:type="table" w:customStyle="1" w:styleId="-11">
    <w:name w:val="浅色底纹 - 着色 11"/>
    <w:basedOn w:val="TableNormal"/>
    <w:uiPriority w:val="60"/>
    <w:qFormat/>
    <w:rPr>
      <w:color w:val="2E74B5"/>
    </w:rPr>
    <w:tblPr>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Heading4Char">
    <w:name w:val="Heading 4 Char"/>
    <w:basedOn w:val="DefaultParagraphFont"/>
    <w:link w:val="Heading4"/>
    <w:uiPriority w:val="9"/>
    <w:qFormat/>
    <w:rPr>
      <w:rFonts w:ascii="Times New Roman" w:eastAsia="Times New Roman" w:hAnsi="Times New Roman" w:cs="Times New Roman"/>
      <w:b/>
      <w:color w:val="000000"/>
      <w:sz w:val="28"/>
      <w:szCs w:val="28"/>
      <w:lang w:bidi="th-TH"/>
    </w:rPr>
  </w:style>
  <w:style w:type="character" w:customStyle="1" w:styleId="HeaderChar">
    <w:name w:val="Header Char"/>
    <w:basedOn w:val="DefaultParagraphFont"/>
    <w:link w:val="Header"/>
    <w:uiPriority w:val="99"/>
    <w:qFormat/>
    <w:rPr>
      <w:rFonts w:ascii="Arial" w:eastAsia="Arial" w:hAnsi="Arial" w:cs="Arial"/>
      <w:sz w:val="18"/>
      <w:szCs w:val="18"/>
    </w:rPr>
  </w:style>
  <w:style w:type="character" w:customStyle="1" w:styleId="FooterChar">
    <w:name w:val="Footer Char"/>
    <w:basedOn w:val="DefaultParagraphFont"/>
    <w:link w:val="Footer"/>
    <w:uiPriority w:val="99"/>
    <w:qFormat/>
    <w:rPr>
      <w:rFonts w:ascii="Arial" w:eastAsia="Arial" w:hAnsi="Arial" w:cs="Arial"/>
      <w:sz w:val="18"/>
      <w:szCs w:val="18"/>
    </w:rPr>
  </w:style>
  <w:style w:type="character" w:customStyle="1" w:styleId="EndnoteTextChar">
    <w:name w:val="Endnote Text Char"/>
    <w:basedOn w:val="DefaultParagraphFont"/>
    <w:link w:val="EndnoteText"/>
    <w:uiPriority w:val="99"/>
    <w:semiHidden/>
    <w:qFormat/>
    <w:rPr>
      <w:rFonts w:ascii="Arial" w:eastAsia="Arial" w:hAnsi="Arial" w:cs="Arial"/>
    </w:rPr>
  </w:style>
  <w:style w:type="character" w:customStyle="1" w:styleId="FootnoteTextChar">
    <w:name w:val="Footnote Text Char"/>
    <w:basedOn w:val="DefaultParagraphFont"/>
    <w:link w:val="FootnoteText"/>
    <w:uiPriority w:val="99"/>
    <w:semiHidden/>
    <w:qFormat/>
    <w:rPr>
      <w:rFonts w:ascii="Arial" w:eastAsia="Arial" w:hAnsi="Arial" w:cs="Arial"/>
      <w:sz w:val="18"/>
      <w:szCs w:val="18"/>
    </w:rPr>
  </w:style>
  <w:style w:type="character" w:customStyle="1" w:styleId="katex-mathml">
    <w:name w:val="katex-mathml"/>
    <w:basedOn w:val="DefaultParagraphFont"/>
    <w:qFormat/>
  </w:style>
  <w:style w:type="character" w:customStyle="1" w:styleId="mord">
    <w:name w:val="mord"/>
    <w:basedOn w:val="DefaultParagraphFont"/>
    <w:qFormat/>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semiHidden/>
    <w:qFormat/>
    <w:rPr>
      <w:rFonts w:ascii="Arial" w:eastAsia="Arial" w:hAnsi="Arial" w:cs="Arial"/>
      <w:sz w:val="20"/>
      <w:szCs w:val="20"/>
    </w:rPr>
  </w:style>
  <w:style w:type="character" w:customStyle="1" w:styleId="CommentSubjectChar">
    <w:name w:val="Comment Subject Char"/>
    <w:basedOn w:val="CommentTextChar"/>
    <w:link w:val="CommentSubject"/>
    <w:uiPriority w:val="99"/>
    <w:semiHidden/>
    <w:qFormat/>
    <w:rPr>
      <w:rFonts w:ascii="Arial" w:eastAsia="Arial" w:hAnsi="Arial" w:cs="Arial"/>
      <w:b/>
      <w:bCs/>
      <w:sz w:val="20"/>
      <w:szCs w:val="20"/>
    </w:rPr>
  </w:style>
  <w:style w:type="character" w:customStyle="1" w:styleId="HTMLPreformattedChar">
    <w:name w:val="HTML Preformatted Char"/>
    <w:basedOn w:val="DefaultParagraphFont"/>
    <w:link w:val="HTMLPreformatted"/>
    <w:uiPriority w:val="99"/>
    <w:semiHidden/>
    <w:qFormat/>
    <w:rPr>
      <w:rFonts w:ascii="Times New Roman" w:eastAsia="Times New Roman" w:hAnsi="Times New Roman" w:cs="Times New Roman"/>
      <w:sz w:val="28"/>
      <w:szCs w:val="28"/>
      <w:lang w:bidi="th-TH"/>
    </w:rPr>
  </w:style>
  <w:style w:type="character" w:customStyle="1" w:styleId="y2iqfc">
    <w:name w:val="y2iqfc"/>
    <w:basedOn w:val="DefaultParagraphFont"/>
    <w:qFormat/>
  </w:style>
  <w:style w:type="paragraph" w:customStyle="1" w:styleId="Revision1">
    <w:name w:val="Revision1"/>
    <w:hidden/>
    <w:uiPriority w:val="99"/>
    <w:semiHidden/>
    <w:qFormat/>
    <w:rPr>
      <w:rFonts w:ascii="Arial" w:eastAsia="Arial" w:hAnsi="Arial" w:cs="Arial"/>
      <w:sz w:val="22"/>
      <w:szCs w:val="22"/>
      <w:lang w:val="en-US" w:eastAsia="en-US" w:bidi="ar-SA"/>
    </w:rPr>
  </w:style>
  <w:style w:type="character" w:customStyle="1" w:styleId="BalloonTextChar">
    <w:name w:val="Balloon Text Char"/>
    <w:basedOn w:val="DefaultParagraphFont"/>
    <w:link w:val="BalloonText"/>
    <w:uiPriority w:val="99"/>
    <w:semiHidden/>
    <w:qFormat/>
    <w:rPr>
      <w:rFonts w:ascii="SimSun" w:eastAsia="SimSun" w:hAnsi="Arial" w:cs="Arial"/>
      <w:sz w:val="18"/>
      <w:szCs w:val="18"/>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123713083@qq.com" TargetMode="Externa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14E61-BDBB-5A45-B37A-6352F4C50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10</Pages>
  <Words>4757</Words>
  <Characters>27641</Characters>
  <Application>Microsoft Office Word</Application>
  <DocSecurity>0</DocSecurity>
  <Lines>502</Lines>
  <Paragraphs>175</Paragraphs>
  <ScaleCrop>false</ScaleCrop>
  <Company/>
  <LinksUpToDate>false</LinksUpToDate>
  <CharactersWithSpaces>32223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Ekasak Hengsuko</dc:creator>
  <cp:lastModifiedBy>Mine Techophat</cp:lastModifiedBy>
  <cp:revision>9</cp:revision>
  <cp:lastPrinted>2026-01-13T04:08:00Z</cp:lastPrinted>
  <dcterms:created xsi:type="dcterms:W3CDTF">2026-01-13T04:17:00Z</dcterms:created>
  <dcterms:modified xsi:type="dcterms:W3CDTF">2026-03-13T03:49:00Z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eyJoZGlkIjoiYWU4YzliM2YwZjNlYTBjN2FhNzU0YjEzMmVlMzAzN2QiLCJ1c2VySWQiOiI1MDEzNDIyMDAifQ==</vt:lpwstr>
  </property>
  <property fmtid="{D5CDD505-2E9C-101B-9397-08002B2CF9AE}" pid="3" name="KSOProductBuildVer">
    <vt:lpwstr>2052-12.1.0.25225</vt:lpwstr>
  </property>
  <property fmtid="{D5CDD505-2E9C-101B-9397-08002B2CF9AE}" pid="4" name="ICV">
    <vt:lpwstr>298A0369A93E4EDDAA04D04B3FFF9E9E_12</vt:lpwstr>
  </property>
</Properties>
</file>